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7A" w:rsidRPr="00643BE7" w:rsidRDefault="00827F7A" w:rsidP="00643BE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43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Государственные услуги, в чем их сущность?</w:t>
      </w:r>
    </w:p>
    <w:p w:rsidR="00827F7A" w:rsidRPr="00827F7A" w:rsidRDefault="00827F7A" w:rsidP="00827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7F7A" w:rsidRPr="00827F7A" w:rsidRDefault="00827F7A" w:rsidP="00827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качества и уровня государственных услуг является одним из приоритетных напр</w:t>
      </w:r>
      <w:r w:rsidR="00807C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авлений развития нашей страны. </w:t>
      </w: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 авторы отмечают, что понятие «государственной услуги» стало использоваться в России только в процессе проведения административной реформы, однако во многих зарубежных странах государственные услуги очень долгое время являются одной из главных форм отношений гражданина, юридического лица и власти.</w:t>
      </w:r>
    </w:p>
    <w:p w:rsidR="00827F7A" w:rsidRPr="00827F7A" w:rsidRDefault="00827F7A" w:rsidP="00827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первую очередь необходимо дать характеристику категории «услуга».</w:t>
      </w:r>
    </w:p>
    <w:p w:rsidR="00827F7A" w:rsidRPr="00827F7A" w:rsidRDefault="00827F7A" w:rsidP="00827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В широком смысле услуга представляет собой действие, выгоду или удовольствие, направлена на обеспечение материальных или духовных потребностей существующих и потенциальных  потребителей. Характерная особенность услуги заключается в ее нематериальном характере, при этом услуга  всегда плотно связана с материальными компонентами, которые ее создают, реализуют и потребляют.</w:t>
      </w:r>
    </w:p>
    <w:p w:rsidR="00827F7A" w:rsidRPr="00827F7A" w:rsidRDefault="00827F7A" w:rsidP="00827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В более узком смысле, услуга представляет собой деятельность, которую одна сторона имеет возможность предложить другой; какое-либо действие, которое не приводит к владению чем-либо. Предоставление услуги тесно связано с материальным товаром.</w:t>
      </w:r>
    </w:p>
    <w:p w:rsidR="00827F7A" w:rsidRPr="00827F7A" w:rsidRDefault="00827F7A" w:rsidP="00827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своих работах </w:t>
      </w:r>
      <w:proofErr w:type="spellStart"/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Котлер</w:t>
      </w:r>
      <w:proofErr w:type="spellEnd"/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определяет услугу, как это результат аллелопатии продавца и покупателя, а также личной деятельности продавца по удовлетворению потребности покупателя в процессе купли-продажи товаров.</w:t>
      </w:r>
    </w:p>
    <w:p w:rsidR="00827F7A" w:rsidRPr="00827F7A" w:rsidRDefault="00827F7A" w:rsidP="00827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Под «услугой» обычно понимается вид полезной деятельности, не создающей материальных ценностей или самостоятельного материального продукта.</w:t>
      </w:r>
    </w:p>
    <w:p w:rsidR="00827F7A" w:rsidRPr="00827F7A" w:rsidRDefault="00827F7A" w:rsidP="00827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ГОСТ </w:t>
      </w:r>
      <w:proofErr w:type="gramStart"/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50646–2012 «Услуги населению. Термины и определения», вступившему в силу с 1 января 2014 г., и международному </w:t>
      </w: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стандарту ИСО 9004–2 под услугой понимается результат непосредственного взаимодействия исполнителя и потребителя, а также собственной деятельности исполнителя услуг по удовлетворению потребности потребителя услуг. [2]</w:t>
      </w:r>
    </w:p>
    <w:p w:rsidR="00827F7A" w:rsidRPr="00827F7A" w:rsidRDefault="00827F7A" w:rsidP="00827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К основным характеристикам, которые присущи всем услугам относятся:</w:t>
      </w:r>
    </w:p>
    <w:p w:rsidR="00827F7A" w:rsidRPr="00827F7A" w:rsidRDefault="00827F7A" w:rsidP="00827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Неосязаемость. Услуги невозможно увидеть и попробовать на вкус, услышать или понюхать до момента их предоставления.</w:t>
      </w:r>
    </w:p>
    <w:p w:rsidR="00827F7A" w:rsidRPr="00827F7A" w:rsidRDefault="00827F7A" w:rsidP="00827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Неотделимость от источника. Услуга неотделима от своего источника.</w:t>
      </w:r>
    </w:p>
    <w:p w:rsidR="00827F7A" w:rsidRPr="00827F7A" w:rsidRDefault="00827F7A" w:rsidP="00827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Непостоянство качества. Качество услуг колеблется в широких пределах в зависимости от их поставщиков, а также от времени и места оказания.</w:t>
      </w:r>
    </w:p>
    <w:p w:rsidR="00827F7A" w:rsidRPr="00827F7A" w:rsidRDefault="00827F7A" w:rsidP="00827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Несохраняемость</w:t>
      </w:r>
      <w:proofErr w:type="spellEnd"/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. Услугу невозможно хранить. [2]</w:t>
      </w:r>
    </w:p>
    <w:p w:rsidR="00827F7A" w:rsidRPr="00827F7A" w:rsidRDefault="00827F7A" w:rsidP="00827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Одно из первых упоминаний термина «государственная услуга» появился в Концепции реформирования государственной службы РФ, утвержденной Указом Президента РФ от 15 августа 2001 г., далее в Федеральной программе «Реформирование государственной службы РФ (2003–2005 гг.)», утвержденной Указом Президента РФ от 19 ноября 2002 г., где было указано о необходимости достижения качественного уровня исполнения государственными служащими своих должностных обязанностей и оказываемых ими гражданам</w:t>
      </w:r>
      <w:proofErr w:type="gramEnd"/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организациям государственных услуг.</w:t>
      </w:r>
    </w:p>
    <w:p w:rsidR="00827F7A" w:rsidRPr="00827F7A" w:rsidRDefault="00827F7A" w:rsidP="00827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Еще одну трактовку термина «государственная услуга» дает указ Президента Российской Федерации </w:t>
      </w:r>
      <w:proofErr w:type="spellStart"/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No</w:t>
      </w:r>
      <w:proofErr w:type="spellEnd"/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314 «О системе и структуре федеральных органов исполнительной власти», в нем государственные услуги трактуются, как разновидность государственных функций: «под функциями по оказанию государственных услуг понимается предоставление федеральными органами исполнительной власти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</w:t>
      </w:r>
      <w:proofErr w:type="gramEnd"/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ценам услуг гражданам и организациям</w:t>
      </w:r>
    </w:p>
    <w:p w:rsidR="00827F7A" w:rsidRPr="00827F7A" w:rsidRDefault="00827F7A" w:rsidP="00827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области образования, здравоохранения, социальной защиты населения и в других областях, установленных федеральными законами».</w:t>
      </w:r>
    </w:p>
    <w:p w:rsidR="00827F7A" w:rsidRPr="00827F7A" w:rsidRDefault="00827F7A" w:rsidP="00827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Бюджетным кодексом РФ государственные услуги – это услуги, оказываемые физическим и юридическим лицам в соответствии с государственным заданием органами государственной власти (органами местного самоуправления), бюджетными учреждениями, иными юридическими лицами безвозмездно или по ценам (тарифам), устанавливаемым в порядке, определенном органами государственной власти (органами местного самоуправления). [1]</w:t>
      </w:r>
      <w:proofErr w:type="gramEnd"/>
    </w:p>
    <w:p w:rsidR="00827F7A" w:rsidRPr="00827F7A" w:rsidRDefault="00827F7A" w:rsidP="00827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В данный временной период, государственные функции объединены в 3 группы:</w:t>
      </w:r>
    </w:p>
    <w:p w:rsidR="00827F7A" w:rsidRPr="00827F7A" w:rsidRDefault="00827F7A" w:rsidP="00827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группа правоустанавливающих функций;</w:t>
      </w:r>
    </w:p>
    <w:p w:rsidR="00827F7A" w:rsidRPr="00827F7A" w:rsidRDefault="00827F7A" w:rsidP="00827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группа функций по предоставлению государственных услуг (государственные публичные услуги) и управлению государственным имуществом;</w:t>
      </w:r>
    </w:p>
    <w:p w:rsidR="00827F7A" w:rsidRPr="00827F7A" w:rsidRDefault="00827F7A" w:rsidP="00827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группа правоприменительных функций.</w:t>
      </w:r>
    </w:p>
    <w:p w:rsidR="00827F7A" w:rsidRPr="00827F7A" w:rsidRDefault="00827F7A" w:rsidP="00827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Функция рассматривается как решение органа исполнительной власти, влекущее возникновение, изменение или прекращение правоотношений или возникновение (передачу) документированной информации (документа), не связанных с непосредственным обращением (заявлением) гражданина или организации.</w:t>
      </w:r>
    </w:p>
    <w:p w:rsidR="00827F7A" w:rsidRPr="00827F7A" w:rsidRDefault="00827F7A" w:rsidP="00827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сегодняшний день в соответствии с Федеральным законом от 27 июля 2010 г. </w:t>
      </w:r>
      <w:proofErr w:type="spellStart"/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No</w:t>
      </w:r>
      <w:proofErr w:type="spellEnd"/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210– «Об организации предоставления государственных и муниципальных услуг» установлено следующее определение государственной услуги [1]:</w:t>
      </w:r>
    </w:p>
    <w:p w:rsidR="00827F7A" w:rsidRPr="00827F7A" w:rsidRDefault="00827F7A" w:rsidP="00827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государственная услуга, предоставляемая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при осуществлении отдельных государственных полномочий, переданных федеральными </w:t>
      </w: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законами и законами субъектов Российской Федерации (далее – государственная услуга),</w:t>
      </w:r>
    </w:p>
    <w:p w:rsidR="00827F7A" w:rsidRPr="00827F7A" w:rsidRDefault="00827F7A" w:rsidP="00827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– деятельность по реализации функций соответственно федерального органа исполнительной власти, государственного внебюджетного фонда, исполнительного органа государственной власти субъекта Российской Федерации, а также органа местного самоуправления при осуществлении отдельных государственных полномочий, переданных федеральными законами и законами субъектов Российской Федерации (далее – органы, предоставляющие государственные услуги),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</w:t>
      </w:r>
      <w:proofErr w:type="gramEnd"/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 полномочий органов, предоставляющих государственные услуги.</w:t>
      </w:r>
    </w:p>
    <w:p w:rsidR="00827F7A" w:rsidRPr="00827F7A" w:rsidRDefault="00827F7A" w:rsidP="00827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В органах исполнительной власти процесс оказания услуги можно рассмотреть как совокупность последовательных административных процессов и процедур, по результатам которых заявитель получает благо, соответствующее определенным параметрам, удовлетворяющее его потребность.</w:t>
      </w:r>
    </w:p>
    <w:p w:rsidR="00827F7A" w:rsidRPr="00827F7A" w:rsidRDefault="00827F7A" w:rsidP="00827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Последовательность действий по предоставлению государственных (муниципальных) </w:t>
      </w:r>
      <w:proofErr w:type="gramStart"/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услуг, обеспечивающих исполнение функций органами исполнительной власти определяется</w:t>
      </w:r>
      <w:proofErr w:type="gramEnd"/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административным регламентом исполнения функций и предоставления государственных услуг [2].</w:t>
      </w:r>
    </w:p>
    <w:p w:rsidR="00827F7A" w:rsidRPr="00827F7A" w:rsidRDefault="00827F7A" w:rsidP="00827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административных регламентов имеет задачу не столько описания существующих процессов по оказанию услуги, сколько выявление и закрепление возможностей оптимизации ее предоставления в интересах потребителя.</w:t>
      </w:r>
    </w:p>
    <w:p w:rsidR="00827F7A" w:rsidRPr="00827F7A" w:rsidRDefault="00827F7A" w:rsidP="00827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глоссарием административной реформы государственная услуга – деятельность органа исполнительной власти, выражающаяся в совершении действий и (или) принятии решений, влекущих возникновение, изменение или прекращение правоотношений или </w:t>
      </w: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возникновение документированной информации (документа) в связи с обращением гражданина или организации в целях реализации их прав, законных интересов либо исполнения возложенных на них нормативными правовыми актами обязанностей [1].</w:t>
      </w:r>
      <w:proofErr w:type="gramEnd"/>
    </w:p>
    <w:p w:rsidR="00827F7A" w:rsidRPr="00827F7A" w:rsidRDefault="00827F7A" w:rsidP="00827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Однако, система правового регулирования предоставления государственных (муниципальных) услуг имеет ряд недостатков:</w:t>
      </w:r>
    </w:p>
    <w:p w:rsidR="00827F7A" w:rsidRPr="00827F7A" w:rsidRDefault="00827F7A" w:rsidP="00827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– отсутствие единого определения государственной (муниципальной) услуги. «Параллельность» существующих определений препятствует четкому выделению и конкретизации видов деятельности органов государственной власти и органов местного самоуправления;</w:t>
      </w:r>
    </w:p>
    <w:p w:rsidR="00827F7A" w:rsidRPr="00827F7A" w:rsidRDefault="00827F7A" w:rsidP="00827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– двусмысленным является норма статьи 210–ФЗ, в соответствии с которой сфера действия данного закона «распространяется также на деятельность организаций, участвующих в предоставлении государственных и муниципальных услуг». Под организацией, участвующей в предоставлении услуг, может пониматься и многофункциональный центр по оказанию услуг (это напрямую определено в законе), а может и организация – поставщик услуги.</w:t>
      </w:r>
    </w:p>
    <w:p w:rsidR="00827F7A" w:rsidRPr="00827F7A" w:rsidRDefault="00827F7A" w:rsidP="00827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Перечисленные недостатки действующей системы регулирования предоставления государственных  услуг порождают ряд неопределенностей [1]:</w:t>
      </w:r>
    </w:p>
    <w:p w:rsidR="00827F7A" w:rsidRPr="00827F7A" w:rsidRDefault="00827F7A" w:rsidP="00827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– при формировании административных регламентов и стандартов предоставления государственных и муниципальных услуг, тем самым затрудняя их внедрение в практику государственного и муниципального управления;</w:t>
      </w:r>
    </w:p>
    <w:p w:rsidR="00827F7A" w:rsidRPr="00827F7A" w:rsidRDefault="00827F7A" w:rsidP="00827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– при разграничении государственных и муниципальных услуг для целей реформирования государственных и муниципальных учреждений.</w:t>
      </w:r>
    </w:p>
    <w:p w:rsidR="00827F7A" w:rsidRPr="00827F7A" w:rsidRDefault="00827F7A" w:rsidP="00827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основываясь на представленных выше доводах, термин «государственные услуги» можно определить как: государственную деятельность, связанную с изменением качественного состояния того объекта, на который направлена услуга.</w:t>
      </w:r>
    </w:p>
    <w:p w:rsidR="00827F7A" w:rsidRPr="00827F7A" w:rsidRDefault="00827F7A" w:rsidP="00827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экономическом контексте, термин «государственная услуга» может восприниматься как государственная деятельность, представляющая собой экономический продукт (все то, что производится, создается и используется в экономике и не выражено в вещественно-материальном характере), придающий новые качества объекту, возникающие непосредственно в процессе деятельности по предоставлению услуги. Результатом предоставления/потребления государственной услуги, с экономической точки зрения, так же является качественное изменение (постоянное или временное, обратимое или необратимое, физическое или ментальное) состояния участника экономических отношений (потребителя государственной услуги) или предмета, принадлежащего ему [2].</w:t>
      </w:r>
    </w:p>
    <w:p w:rsidR="00827F7A" w:rsidRPr="00827F7A" w:rsidRDefault="00827F7A" w:rsidP="00827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административной реформы основным направлением деятельности органов исполнительной власти, помимо повышения качества и доступности государственных услуг, являются также стандартизация и регламентация государственных услуг, включающие совершенствование существующих регламентов. Это предусматривает создание новых механизмов, предусматривающих привлечение к ответственности должностных лиц за несоблюдение утвержденных стандартов и возмещение нанесенного в результате этого ущерба.</w:t>
      </w:r>
    </w:p>
    <w:p w:rsidR="00827F7A" w:rsidRPr="00827F7A" w:rsidRDefault="00827F7A" w:rsidP="00827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7F7A" w:rsidRPr="00827F7A" w:rsidRDefault="00827F7A" w:rsidP="00827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использованных источников:</w:t>
      </w:r>
    </w:p>
    <w:p w:rsidR="00827F7A" w:rsidRPr="00827F7A" w:rsidRDefault="00827F7A" w:rsidP="00827F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Г. И.  </w:t>
      </w:r>
      <w:proofErr w:type="spellStart"/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Алькина</w:t>
      </w:r>
      <w:proofErr w:type="spellEnd"/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А. Герба, Сущность государственных услуг// Экономика и управление народным хозяйством, Вестник ТОГУ, 2009, </w:t>
      </w:r>
      <w:proofErr w:type="spellStart"/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No</w:t>
      </w:r>
      <w:proofErr w:type="spellEnd"/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3(14), 2009.</w:t>
      </w:r>
    </w:p>
    <w:p w:rsidR="000478B5" w:rsidRPr="00827F7A" w:rsidRDefault="00827F7A" w:rsidP="00827F7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7F7A">
        <w:rPr>
          <w:rFonts w:ascii="Times New Roman" w:hAnsi="Times New Roman" w:cs="Times New Roman"/>
          <w:sz w:val="28"/>
          <w:szCs w:val="28"/>
          <w:shd w:val="clear" w:color="auto" w:fill="FFFFFF"/>
        </w:rPr>
        <w:t>2. Научная электронная библиотека // Монографии, изданные в издательстве Российской Академии Естествознания https://monographies.ru/ru/book/section?id=8420</w:t>
      </w:r>
    </w:p>
    <w:p w:rsidR="000478B5" w:rsidRDefault="000478B5" w:rsidP="000478B5"/>
    <w:sectPr w:rsidR="000478B5" w:rsidSect="005D5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32A1"/>
    <w:multiLevelType w:val="hybridMultilevel"/>
    <w:tmpl w:val="450436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6F1716"/>
    <w:multiLevelType w:val="hybridMultilevel"/>
    <w:tmpl w:val="D54C5774"/>
    <w:lvl w:ilvl="0" w:tplc="77928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2A372E"/>
    <w:multiLevelType w:val="hybridMultilevel"/>
    <w:tmpl w:val="3EE8A4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911FAE"/>
    <w:multiLevelType w:val="hybridMultilevel"/>
    <w:tmpl w:val="FD32F3DA"/>
    <w:lvl w:ilvl="0" w:tplc="779281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27A95"/>
    <w:rsid w:val="00031D2B"/>
    <w:rsid w:val="000478B5"/>
    <w:rsid w:val="00053B3C"/>
    <w:rsid w:val="00194C6E"/>
    <w:rsid w:val="00266CB4"/>
    <w:rsid w:val="002C5F9B"/>
    <w:rsid w:val="003A6D39"/>
    <w:rsid w:val="00406386"/>
    <w:rsid w:val="005D5A8A"/>
    <w:rsid w:val="00643BE7"/>
    <w:rsid w:val="00807C5B"/>
    <w:rsid w:val="00827F7A"/>
    <w:rsid w:val="009E3C03"/>
    <w:rsid w:val="009F7095"/>
    <w:rsid w:val="00A27A95"/>
    <w:rsid w:val="00BC39B9"/>
    <w:rsid w:val="00C6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A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2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7A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5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6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9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8</cp:revision>
  <dcterms:created xsi:type="dcterms:W3CDTF">2017-04-30T05:28:00Z</dcterms:created>
  <dcterms:modified xsi:type="dcterms:W3CDTF">2017-04-30T07:11:00Z</dcterms:modified>
</cp:coreProperties>
</file>