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DA185" w14:textId="5D3CF49F" w:rsidR="0003487C" w:rsidRPr="00617B7C" w:rsidRDefault="00BD63E1" w:rsidP="00835AE2">
      <w:pPr>
        <w:pStyle w:val="1"/>
        <w:rPr>
          <w:b/>
          <w:sz w:val="28"/>
          <w:szCs w:val="28"/>
        </w:rPr>
      </w:pPr>
      <w:r w:rsidRPr="00617B7C">
        <w:rPr>
          <w:b/>
          <w:sz w:val="28"/>
          <w:szCs w:val="28"/>
        </w:rPr>
        <w:t>Статистические методы для принятия стратегических решений в текущих рыночных условиях</w:t>
      </w:r>
    </w:p>
    <w:p w14:paraId="240A6BE5" w14:textId="77777777" w:rsidR="00EC0216" w:rsidRPr="00835AE2" w:rsidRDefault="00EC0216" w:rsidP="00835AE2">
      <w:pPr>
        <w:rPr>
          <w:szCs w:val="28"/>
        </w:rPr>
      </w:pPr>
      <w:r w:rsidRPr="00835AE2">
        <w:rPr>
          <w:szCs w:val="28"/>
        </w:rPr>
        <w:t>Существует три уровня планирования: стратегический, тактический и оперативный. Стратегическое планирование выражается в виде долгосрочных планов и общих качественных и количественных показателей. Тактическое планирование выражается в виде среднесрочных планов, на период до пяти лет и в определении необходимых на данный период ресурсов, которые приблизят предприятие к стратегическим плановым показателям. Оперативное планирование заключается в планировании текущей деятельности предприятия.</w:t>
      </w:r>
    </w:p>
    <w:p w14:paraId="3ED9FE58" w14:textId="77777777" w:rsidR="00F72DDA" w:rsidRPr="00835AE2" w:rsidRDefault="00616EB6" w:rsidP="00835AE2">
      <w:pPr>
        <w:rPr>
          <w:szCs w:val="28"/>
        </w:rPr>
      </w:pPr>
      <w:r w:rsidRPr="00835AE2">
        <w:rPr>
          <w:szCs w:val="28"/>
        </w:rPr>
        <w:t>Управленческое решение представляет собой выбор, который делает руководитель, на основе имеющейся информации, её анализа, с целью достичь необходимого</w:t>
      </w:r>
      <w:r w:rsidR="00EC0216" w:rsidRPr="00835AE2">
        <w:rPr>
          <w:szCs w:val="28"/>
        </w:rPr>
        <w:t xml:space="preserve"> результата.</w:t>
      </w:r>
    </w:p>
    <w:p w14:paraId="4BFF3AC1" w14:textId="77777777" w:rsidR="00E76C96" w:rsidRPr="00835AE2" w:rsidRDefault="00EC0216" w:rsidP="00835AE2">
      <w:pPr>
        <w:rPr>
          <w:szCs w:val="28"/>
        </w:rPr>
      </w:pPr>
      <w:r w:rsidRPr="00835AE2">
        <w:rPr>
          <w:szCs w:val="28"/>
        </w:rPr>
        <w:t>Соответственно, при принятии стратегического решения необходимо ориентироваться на резуль</w:t>
      </w:r>
      <w:r w:rsidR="00E76C96" w:rsidRPr="00835AE2">
        <w:rPr>
          <w:szCs w:val="28"/>
        </w:rPr>
        <w:t>таты, которые будут получены в долгосрочной перспективе, намного позже того момента, когда решение было принято. Исходя из специфики таких решений, наиболее явной проблемой становится тот факт, что решения принимаются в условиях достаточно высокой неопределенности и несут в себе высокую степень риска. Также, при принятии стратегических решений всегда возникает сложность их формирования при условии, что множество стратегических альтернатив невозможно определить, как следствие – субъективность принятого решения и его оценки. На основе принятых стратегических решений строятся все последующие оперативные решения, так как текущее управление базируется на достижении стратегических целей. Соответственно, стратегические решения в какой-то степени необратимы и могут нести в себе чрезвычайно негативные последствия, при неверно сделанном выборе.</w:t>
      </w:r>
    </w:p>
    <w:p w14:paraId="35A7D104" w14:textId="77777777" w:rsidR="003E50DA" w:rsidRPr="00835AE2" w:rsidRDefault="00B23E7B" w:rsidP="00835AE2">
      <w:pPr>
        <w:rPr>
          <w:szCs w:val="28"/>
        </w:rPr>
      </w:pPr>
      <w:r w:rsidRPr="00835AE2">
        <w:rPr>
          <w:szCs w:val="28"/>
        </w:rPr>
        <w:t>Существующие статистические методы принятия стратегических управленческих решений всегда базируются на признании</w:t>
      </w:r>
      <w:r w:rsidR="003E50DA" w:rsidRPr="00835AE2">
        <w:rPr>
          <w:szCs w:val="28"/>
        </w:rPr>
        <w:t xml:space="preserve"> факта </w:t>
      </w:r>
      <w:r w:rsidR="003E50DA" w:rsidRPr="00835AE2">
        <w:rPr>
          <w:szCs w:val="28"/>
        </w:rPr>
        <w:lastRenderedPageBreak/>
        <w:t>определенной устойчивости изменений показателей финансово-хозяйственной деятельности от одного отчетно</w:t>
      </w:r>
      <w:r w:rsidRPr="00835AE2">
        <w:rPr>
          <w:szCs w:val="28"/>
        </w:rPr>
        <w:t>го периода к другому. Перечень показателей может изменяться и по этому критерию можно выделить следующие типы методов:</w:t>
      </w:r>
    </w:p>
    <w:p w14:paraId="020A471F" w14:textId="77777777" w:rsidR="003E50DA" w:rsidRPr="00835AE2" w:rsidRDefault="00B23E7B" w:rsidP="00835AE2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szCs w:val="28"/>
        </w:rPr>
      </w:pPr>
      <w:r w:rsidRPr="00835AE2">
        <w:rPr>
          <w:szCs w:val="28"/>
        </w:rPr>
        <w:t>прогнозирующие</w:t>
      </w:r>
      <w:r w:rsidR="003E50DA" w:rsidRPr="00835AE2">
        <w:rPr>
          <w:szCs w:val="28"/>
        </w:rPr>
        <w:t xml:space="preserve"> один или несколько отдельных показателей, </w:t>
      </w:r>
      <w:r w:rsidRPr="00835AE2">
        <w:rPr>
          <w:szCs w:val="28"/>
        </w:rPr>
        <w:t xml:space="preserve">которые наиболее интересны и значимы </w:t>
      </w:r>
      <w:r w:rsidR="003E50DA" w:rsidRPr="00835AE2">
        <w:rPr>
          <w:szCs w:val="28"/>
        </w:rPr>
        <w:t>для аналитика</w:t>
      </w:r>
      <w:r w:rsidRPr="00835AE2">
        <w:rPr>
          <w:szCs w:val="28"/>
        </w:rPr>
        <w:t>;</w:t>
      </w:r>
      <w:r w:rsidR="003E50DA" w:rsidRPr="00835AE2">
        <w:rPr>
          <w:szCs w:val="28"/>
        </w:rPr>
        <w:t xml:space="preserve"> </w:t>
      </w:r>
    </w:p>
    <w:p w14:paraId="5F571A5F" w14:textId="7EEEC5FC" w:rsidR="00B23E7B" w:rsidRPr="00835AE2" w:rsidRDefault="00B23E7B" w:rsidP="00835AE2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szCs w:val="28"/>
        </w:rPr>
      </w:pPr>
      <w:r w:rsidRPr="00835AE2">
        <w:rPr>
          <w:szCs w:val="28"/>
        </w:rPr>
        <w:t>основанные на составлении прогнозных форм</w:t>
      </w:r>
      <w:r w:rsidR="003E50DA" w:rsidRPr="00835AE2">
        <w:rPr>
          <w:szCs w:val="28"/>
        </w:rPr>
        <w:t xml:space="preserve"> отчетности целиком в типовой или укрупненной номенклатуре статей. На основании анализа данных прошлых периодов прогнозируется каждая статья баланса и отчета о финансовых результатах. Аналитик получает максимум информации, которую он может ис</w:t>
      </w:r>
      <w:r w:rsidRPr="00835AE2">
        <w:rPr>
          <w:szCs w:val="28"/>
        </w:rPr>
        <w:t xml:space="preserve">пользовать для различных целей. </w:t>
      </w:r>
    </w:p>
    <w:p w14:paraId="2B9B8B80" w14:textId="77777777" w:rsidR="003E50DA" w:rsidRPr="00835AE2" w:rsidRDefault="003F666C" w:rsidP="00835AE2">
      <w:pPr>
        <w:rPr>
          <w:szCs w:val="28"/>
        </w:rPr>
      </w:pPr>
      <w:r w:rsidRPr="00835AE2">
        <w:rPr>
          <w:szCs w:val="28"/>
        </w:rPr>
        <w:t xml:space="preserve">Среди методов прогнозирования отчетности можно выделить две группы методов: такие, где </w:t>
      </w:r>
      <w:r w:rsidR="003E50DA" w:rsidRPr="00835AE2">
        <w:rPr>
          <w:szCs w:val="28"/>
        </w:rPr>
        <w:t xml:space="preserve">каждая статья прогнозируется отдельно исходя из ее индивидуальной динамики, и </w:t>
      </w:r>
      <w:r w:rsidRPr="00835AE2">
        <w:rPr>
          <w:szCs w:val="28"/>
        </w:rPr>
        <w:t>такие</w:t>
      </w:r>
      <w:r w:rsidR="003E50DA" w:rsidRPr="00835AE2">
        <w:rPr>
          <w:szCs w:val="28"/>
        </w:rPr>
        <w:t>,</w:t>
      </w:r>
      <w:r w:rsidRPr="00835AE2">
        <w:rPr>
          <w:szCs w:val="28"/>
        </w:rPr>
        <w:t xml:space="preserve"> в которых учитывают текущую</w:t>
      </w:r>
      <w:r w:rsidR="003E50DA" w:rsidRPr="00835AE2">
        <w:rPr>
          <w:szCs w:val="28"/>
        </w:rPr>
        <w:t xml:space="preserve"> взаимосвязь между отдельными статьями</w:t>
      </w:r>
      <w:r w:rsidRPr="00835AE2">
        <w:rPr>
          <w:szCs w:val="28"/>
        </w:rPr>
        <w:t>.</w:t>
      </w:r>
    </w:p>
    <w:p w14:paraId="094387F1" w14:textId="77777777" w:rsidR="003F666C" w:rsidRPr="00835AE2" w:rsidRDefault="003F666C" w:rsidP="00835AE2">
      <w:pPr>
        <w:rPr>
          <w:szCs w:val="28"/>
        </w:rPr>
      </w:pPr>
      <w:r w:rsidRPr="00835AE2">
        <w:rPr>
          <w:szCs w:val="28"/>
        </w:rPr>
        <w:t>Все методы прогнозирования можно разделить на три следующие группы:</w:t>
      </w:r>
    </w:p>
    <w:p w14:paraId="7EC2E53D" w14:textId="77777777" w:rsidR="003F666C" w:rsidRPr="00835AE2" w:rsidRDefault="003F666C" w:rsidP="00835AE2">
      <w:pPr>
        <w:pStyle w:val="a3"/>
        <w:numPr>
          <w:ilvl w:val="0"/>
          <w:numId w:val="3"/>
        </w:numPr>
        <w:tabs>
          <w:tab w:val="left" w:pos="993"/>
        </w:tabs>
        <w:ind w:left="-142" w:firstLine="709"/>
        <w:rPr>
          <w:szCs w:val="28"/>
        </w:rPr>
      </w:pPr>
      <w:r w:rsidRPr="00835AE2">
        <w:rPr>
          <w:szCs w:val="28"/>
        </w:rPr>
        <w:t>м</w:t>
      </w:r>
      <w:r w:rsidR="003E50DA" w:rsidRPr="00835AE2">
        <w:rPr>
          <w:szCs w:val="28"/>
        </w:rPr>
        <w:t xml:space="preserve">етоды экспертных оценок, </w:t>
      </w:r>
      <w:r w:rsidRPr="00835AE2">
        <w:rPr>
          <w:szCs w:val="28"/>
        </w:rPr>
        <w:t>предусматривающие</w:t>
      </w:r>
      <w:r w:rsidR="003E50DA" w:rsidRPr="00835AE2">
        <w:rPr>
          <w:szCs w:val="28"/>
        </w:rPr>
        <w:t xml:space="preserve"> многоступенчатый опрос экспертов по специальным схемам и обработку полученных результатов с помощью инструмен</w:t>
      </w:r>
      <w:r w:rsidRPr="00835AE2">
        <w:rPr>
          <w:szCs w:val="28"/>
        </w:rPr>
        <w:t>тария экономической статистики;</w:t>
      </w:r>
    </w:p>
    <w:p w14:paraId="15E15A50" w14:textId="77777777" w:rsidR="003F666C" w:rsidRPr="00835AE2" w:rsidRDefault="003F666C" w:rsidP="00835AE2">
      <w:pPr>
        <w:pStyle w:val="a3"/>
        <w:numPr>
          <w:ilvl w:val="0"/>
          <w:numId w:val="3"/>
        </w:numPr>
        <w:tabs>
          <w:tab w:val="left" w:pos="993"/>
        </w:tabs>
        <w:ind w:left="-142" w:firstLine="709"/>
        <w:rPr>
          <w:szCs w:val="28"/>
        </w:rPr>
      </w:pPr>
      <w:r w:rsidRPr="00835AE2">
        <w:rPr>
          <w:szCs w:val="28"/>
        </w:rPr>
        <w:t>д</w:t>
      </w:r>
      <w:r w:rsidR="003E50DA" w:rsidRPr="00835AE2">
        <w:rPr>
          <w:szCs w:val="28"/>
        </w:rPr>
        <w:t>етерминированные методы,</w:t>
      </w:r>
      <w:r w:rsidRPr="00835AE2">
        <w:rPr>
          <w:szCs w:val="28"/>
        </w:rPr>
        <w:t xml:space="preserve"> которые базируются на предположении о наличии </w:t>
      </w:r>
      <w:r w:rsidR="003E50DA" w:rsidRPr="00835AE2">
        <w:rPr>
          <w:szCs w:val="28"/>
        </w:rPr>
        <w:t>функциональных связей, когда каждому значению факторного признака соответствует вполне определенное неслучайное зна</w:t>
      </w:r>
      <w:r w:rsidRPr="00835AE2">
        <w:rPr>
          <w:szCs w:val="28"/>
        </w:rPr>
        <w:t>чение результативного признака;</w:t>
      </w:r>
    </w:p>
    <w:p w14:paraId="01525A00" w14:textId="2D7B654B" w:rsidR="003E50DA" w:rsidRPr="00835AE2" w:rsidRDefault="003F666C" w:rsidP="00835AE2">
      <w:pPr>
        <w:pStyle w:val="a3"/>
        <w:numPr>
          <w:ilvl w:val="0"/>
          <w:numId w:val="3"/>
        </w:numPr>
        <w:tabs>
          <w:tab w:val="left" w:pos="993"/>
        </w:tabs>
        <w:ind w:left="-142" w:firstLine="709"/>
        <w:rPr>
          <w:szCs w:val="28"/>
        </w:rPr>
      </w:pPr>
      <w:r w:rsidRPr="00835AE2">
        <w:rPr>
          <w:szCs w:val="28"/>
        </w:rPr>
        <w:t>с</w:t>
      </w:r>
      <w:r w:rsidR="003E50DA" w:rsidRPr="00835AE2">
        <w:rPr>
          <w:szCs w:val="28"/>
        </w:rPr>
        <w:t xml:space="preserve">тохастические методы, </w:t>
      </w:r>
      <w:r w:rsidRPr="00835AE2">
        <w:rPr>
          <w:szCs w:val="28"/>
        </w:rPr>
        <w:t>которые предполагают</w:t>
      </w:r>
      <w:r w:rsidR="003E50DA" w:rsidRPr="00835AE2">
        <w:rPr>
          <w:szCs w:val="28"/>
        </w:rPr>
        <w:t xml:space="preserve"> вероятностный характер как прогноза, так и самой связи между исследуемыми показателями. </w:t>
      </w:r>
      <w:r w:rsidRPr="00835AE2">
        <w:rPr>
          <w:szCs w:val="28"/>
        </w:rPr>
        <w:t xml:space="preserve">Вероятность возрастает от количества имеющихся опытных данных. </w:t>
      </w:r>
    </w:p>
    <w:p w14:paraId="4F53688C" w14:textId="77777777" w:rsidR="003E50DA" w:rsidRPr="00835AE2" w:rsidRDefault="00EF4D01" w:rsidP="00835AE2">
      <w:pPr>
        <w:rPr>
          <w:szCs w:val="28"/>
        </w:rPr>
      </w:pPr>
      <w:r w:rsidRPr="00835AE2">
        <w:rPr>
          <w:szCs w:val="28"/>
        </w:rPr>
        <w:t xml:space="preserve">Среди стохастических методов прогнозирования рассмотрим метод наименьших квадратов, который </w:t>
      </w:r>
      <w:r w:rsidR="00BC5CB4" w:rsidRPr="00835AE2">
        <w:rPr>
          <w:szCs w:val="28"/>
        </w:rPr>
        <w:t xml:space="preserve">достаточно прост в применении и в то же время актуален. Данный метод является одним из основных методов </w:t>
      </w:r>
      <w:r w:rsidR="00BC5CB4" w:rsidRPr="00835AE2">
        <w:rPr>
          <w:szCs w:val="28"/>
        </w:rPr>
        <w:lastRenderedPageBreak/>
        <w:t>регрессионного анализа, который позволяет оценивать неизвестные параметров регрессионных моделей по выборочным данным.</w:t>
      </w:r>
    </w:p>
    <w:p w14:paraId="4DDEA5B1" w14:textId="77777777" w:rsidR="00BC5CB4" w:rsidRPr="00835AE2" w:rsidRDefault="00BC5CB4" w:rsidP="00835AE2">
      <w:pPr>
        <w:rPr>
          <w:szCs w:val="28"/>
        </w:rPr>
      </w:pPr>
      <w:r w:rsidRPr="00835AE2">
        <w:rPr>
          <w:szCs w:val="28"/>
        </w:rPr>
        <w:t>Приведем пример использования данной модели.</w:t>
      </w:r>
    </w:p>
    <w:p w14:paraId="71874CA4" w14:textId="77777777" w:rsidR="00BC5CB4" w:rsidRPr="00835AE2" w:rsidRDefault="00BC5CB4" w:rsidP="00835AE2">
      <w:pPr>
        <w:rPr>
          <w:szCs w:val="28"/>
        </w:rPr>
      </w:pPr>
      <w:r w:rsidRPr="00835AE2">
        <w:rPr>
          <w:szCs w:val="28"/>
        </w:rPr>
        <w:t>Некое предприятие ставит перед собой задачу выяснить как влияет мощность используемого оборудования на объемы выручки.</w:t>
      </w:r>
    </w:p>
    <w:p w14:paraId="6E942B82" w14:textId="77777777" w:rsidR="00BC5CB4" w:rsidRPr="00835AE2" w:rsidRDefault="00BC5CB4" w:rsidP="00835AE2">
      <w:pPr>
        <w:spacing w:before="240" w:after="240"/>
        <w:jc w:val="center"/>
        <w:rPr>
          <w:szCs w:val="28"/>
        </w:rPr>
      </w:pPr>
      <w:r w:rsidRPr="00835AE2">
        <w:rPr>
          <w:szCs w:val="28"/>
        </w:rPr>
        <w:t>Таблица 1 – Исходные данные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9"/>
        <w:gridCol w:w="3224"/>
        <w:gridCol w:w="4342"/>
      </w:tblGrid>
      <w:tr w:rsidR="00BC5CB4" w:rsidRPr="00835AE2" w14:paraId="1E97DF3F" w14:textId="77777777" w:rsidTr="00BC5CB4">
        <w:tc>
          <w:tcPr>
            <w:tcW w:w="1696" w:type="dxa"/>
          </w:tcPr>
          <w:p w14:paraId="455604D9" w14:textId="77777777" w:rsidR="00BC5CB4" w:rsidRPr="00835AE2" w:rsidRDefault="00BC5CB4" w:rsidP="00835AE2">
            <w:pPr>
              <w:ind w:firstLine="0"/>
              <w:rPr>
                <w:szCs w:val="28"/>
              </w:rPr>
            </w:pPr>
            <w:r w:rsidRPr="00835AE2">
              <w:rPr>
                <w:szCs w:val="28"/>
              </w:rPr>
              <w:t xml:space="preserve">Периоды </w:t>
            </w:r>
          </w:p>
        </w:tc>
        <w:tc>
          <w:tcPr>
            <w:tcW w:w="3261" w:type="dxa"/>
          </w:tcPr>
          <w:p w14:paraId="1004E4F5" w14:textId="77777777" w:rsidR="00BC5CB4" w:rsidRPr="00835AE2" w:rsidRDefault="00BC5CB4" w:rsidP="00835AE2">
            <w:pPr>
              <w:ind w:firstLine="0"/>
              <w:rPr>
                <w:szCs w:val="28"/>
              </w:rPr>
            </w:pPr>
            <w:r w:rsidRPr="00835AE2">
              <w:rPr>
                <w:szCs w:val="28"/>
              </w:rPr>
              <w:t>Объем выручки, тыс. руб.</w:t>
            </w:r>
          </w:p>
        </w:tc>
        <w:tc>
          <w:tcPr>
            <w:tcW w:w="4388" w:type="dxa"/>
          </w:tcPr>
          <w:p w14:paraId="26D0429A" w14:textId="77777777" w:rsidR="00BC5CB4" w:rsidRPr="00835AE2" w:rsidRDefault="00BC5CB4" w:rsidP="00835AE2">
            <w:pPr>
              <w:ind w:firstLine="0"/>
              <w:rPr>
                <w:szCs w:val="28"/>
              </w:rPr>
            </w:pPr>
            <w:r w:rsidRPr="00835AE2">
              <w:rPr>
                <w:szCs w:val="28"/>
              </w:rPr>
              <w:t>Мощность оборудования, %</w:t>
            </w:r>
          </w:p>
        </w:tc>
      </w:tr>
      <w:tr w:rsidR="00BC5CB4" w:rsidRPr="00835AE2" w14:paraId="7A9A80BA" w14:textId="77777777" w:rsidTr="00BC5CB4">
        <w:tc>
          <w:tcPr>
            <w:tcW w:w="1696" w:type="dxa"/>
          </w:tcPr>
          <w:p w14:paraId="435C2A6F" w14:textId="77777777" w:rsidR="00BC5CB4" w:rsidRPr="00835AE2" w:rsidRDefault="00BC5CB4" w:rsidP="00835AE2">
            <w:pPr>
              <w:ind w:firstLine="0"/>
              <w:rPr>
                <w:szCs w:val="28"/>
              </w:rPr>
            </w:pPr>
            <w:r w:rsidRPr="00835AE2">
              <w:rPr>
                <w:szCs w:val="28"/>
              </w:rPr>
              <w:t>Обозначения</w:t>
            </w:r>
          </w:p>
        </w:tc>
        <w:tc>
          <w:tcPr>
            <w:tcW w:w="3261" w:type="dxa"/>
          </w:tcPr>
          <w:p w14:paraId="41D4C728" w14:textId="77777777" w:rsidR="00BC5CB4" w:rsidRPr="00835AE2" w:rsidRDefault="00BC5CB4" w:rsidP="00835AE2">
            <w:pPr>
              <w:ind w:firstLine="0"/>
              <w:jc w:val="center"/>
              <w:rPr>
                <w:b/>
                <w:szCs w:val="28"/>
                <w:vertAlign w:val="subscript"/>
                <w:lang w:val="en-US"/>
              </w:rPr>
            </w:pPr>
            <w:proofErr w:type="spellStart"/>
            <w:r w:rsidRPr="00835AE2">
              <w:rPr>
                <w:b/>
                <w:szCs w:val="28"/>
                <w:lang w:val="en-US"/>
              </w:rPr>
              <w:t>y</w:t>
            </w:r>
            <w:r w:rsidRPr="00835AE2">
              <w:rPr>
                <w:b/>
                <w:szCs w:val="28"/>
                <w:vertAlign w:val="subscript"/>
                <w:lang w:val="en-US"/>
              </w:rPr>
              <w:t>t</w:t>
            </w:r>
            <w:proofErr w:type="spellEnd"/>
          </w:p>
        </w:tc>
        <w:tc>
          <w:tcPr>
            <w:tcW w:w="4388" w:type="dxa"/>
          </w:tcPr>
          <w:p w14:paraId="1AE9136A" w14:textId="77777777" w:rsidR="00BC5CB4" w:rsidRPr="00835AE2" w:rsidRDefault="00BC5CB4" w:rsidP="00835AE2">
            <w:pPr>
              <w:ind w:firstLine="0"/>
              <w:jc w:val="center"/>
              <w:rPr>
                <w:b/>
                <w:szCs w:val="28"/>
                <w:vertAlign w:val="subscript"/>
                <w:lang w:val="en-US"/>
              </w:rPr>
            </w:pPr>
            <w:proofErr w:type="spellStart"/>
            <w:r w:rsidRPr="00835AE2">
              <w:rPr>
                <w:b/>
                <w:szCs w:val="28"/>
                <w:lang w:val="en-US"/>
              </w:rPr>
              <w:t>x</w:t>
            </w:r>
            <w:r w:rsidRPr="00835AE2">
              <w:rPr>
                <w:b/>
                <w:szCs w:val="28"/>
                <w:vertAlign w:val="subscript"/>
                <w:lang w:val="en-US"/>
              </w:rPr>
              <w:t>t</w:t>
            </w:r>
            <w:proofErr w:type="spellEnd"/>
          </w:p>
        </w:tc>
      </w:tr>
      <w:tr w:rsidR="00BC5CB4" w:rsidRPr="00835AE2" w14:paraId="69A7CCE1" w14:textId="77777777" w:rsidTr="00BC5CB4">
        <w:tc>
          <w:tcPr>
            <w:tcW w:w="1696" w:type="dxa"/>
          </w:tcPr>
          <w:p w14:paraId="14495AC1" w14:textId="77777777" w:rsidR="00BC5CB4" w:rsidRPr="00835AE2" w:rsidRDefault="00BC5CB4" w:rsidP="00835AE2">
            <w:pPr>
              <w:ind w:firstLine="0"/>
              <w:rPr>
                <w:szCs w:val="28"/>
              </w:rPr>
            </w:pPr>
            <w:r w:rsidRPr="00835AE2">
              <w:rPr>
                <w:szCs w:val="28"/>
              </w:rPr>
              <w:t>1</w:t>
            </w:r>
          </w:p>
        </w:tc>
        <w:tc>
          <w:tcPr>
            <w:tcW w:w="3261" w:type="dxa"/>
          </w:tcPr>
          <w:p w14:paraId="5D2B6944" w14:textId="77777777" w:rsidR="00BC5CB4" w:rsidRPr="00835AE2" w:rsidRDefault="00BC5CB4" w:rsidP="00835AE2">
            <w:pPr>
              <w:ind w:firstLine="0"/>
              <w:jc w:val="center"/>
              <w:rPr>
                <w:szCs w:val="28"/>
              </w:rPr>
            </w:pPr>
            <w:r w:rsidRPr="00835AE2">
              <w:rPr>
                <w:szCs w:val="28"/>
              </w:rPr>
              <w:t>345,15</w:t>
            </w:r>
          </w:p>
        </w:tc>
        <w:tc>
          <w:tcPr>
            <w:tcW w:w="4388" w:type="dxa"/>
          </w:tcPr>
          <w:p w14:paraId="657236A9" w14:textId="77777777" w:rsidR="00BC5CB4" w:rsidRPr="00835AE2" w:rsidRDefault="00BC5CB4" w:rsidP="00835AE2">
            <w:pPr>
              <w:ind w:firstLine="0"/>
              <w:jc w:val="center"/>
              <w:rPr>
                <w:szCs w:val="28"/>
              </w:rPr>
            </w:pPr>
            <w:r w:rsidRPr="00835AE2">
              <w:rPr>
                <w:szCs w:val="28"/>
              </w:rPr>
              <w:t>0,69</w:t>
            </w:r>
          </w:p>
        </w:tc>
      </w:tr>
      <w:tr w:rsidR="00BC5CB4" w:rsidRPr="00835AE2" w14:paraId="1C68E0F4" w14:textId="77777777" w:rsidTr="00BC5CB4">
        <w:tc>
          <w:tcPr>
            <w:tcW w:w="1696" w:type="dxa"/>
          </w:tcPr>
          <w:p w14:paraId="656BCB9F" w14:textId="77777777" w:rsidR="00BC5CB4" w:rsidRPr="00835AE2" w:rsidRDefault="00BC5CB4" w:rsidP="00835AE2">
            <w:pPr>
              <w:ind w:firstLine="0"/>
              <w:rPr>
                <w:szCs w:val="28"/>
              </w:rPr>
            </w:pPr>
            <w:r w:rsidRPr="00835AE2">
              <w:rPr>
                <w:szCs w:val="28"/>
              </w:rPr>
              <w:t>2</w:t>
            </w:r>
          </w:p>
        </w:tc>
        <w:tc>
          <w:tcPr>
            <w:tcW w:w="3261" w:type="dxa"/>
          </w:tcPr>
          <w:p w14:paraId="736F8493" w14:textId="77777777" w:rsidR="00BC5CB4" w:rsidRPr="00835AE2" w:rsidRDefault="00BC5CB4" w:rsidP="00835AE2">
            <w:pPr>
              <w:ind w:firstLine="0"/>
              <w:jc w:val="center"/>
              <w:rPr>
                <w:szCs w:val="28"/>
              </w:rPr>
            </w:pPr>
            <w:r w:rsidRPr="00835AE2">
              <w:rPr>
                <w:szCs w:val="28"/>
              </w:rPr>
              <w:t>256,20</w:t>
            </w:r>
          </w:p>
        </w:tc>
        <w:tc>
          <w:tcPr>
            <w:tcW w:w="4388" w:type="dxa"/>
          </w:tcPr>
          <w:p w14:paraId="183DF83C" w14:textId="77777777" w:rsidR="00BC5CB4" w:rsidRPr="00835AE2" w:rsidRDefault="00BC5CB4" w:rsidP="00835AE2">
            <w:pPr>
              <w:ind w:firstLine="0"/>
              <w:jc w:val="center"/>
              <w:rPr>
                <w:szCs w:val="28"/>
              </w:rPr>
            </w:pPr>
            <w:r w:rsidRPr="00835AE2">
              <w:rPr>
                <w:szCs w:val="28"/>
              </w:rPr>
              <w:t>0,50</w:t>
            </w:r>
          </w:p>
        </w:tc>
      </w:tr>
      <w:tr w:rsidR="00BC5CB4" w:rsidRPr="00835AE2" w14:paraId="05288353" w14:textId="77777777" w:rsidTr="00BC5CB4">
        <w:tc>
          <w:tcPr>
            <w:tcW w:w="1696" w:type="dxa"/>
          </w:tcPr>
          <w:p w14:paraId="7E8AAB3B" w14:textId="77777777" w:rsidR="00BC5CB4" w:rsidRPr="00835AE2" w:rsidRDefault="00BC5CB4" w:rsidP="00835AE2">
            <w:pPr>
              <w:ind w:firstLine="0"/>
              <w:rPr>
                <w:szCs w:val="28"/>
              </w:rPr>
            </w:pPr>
            <w:r w:rsidRPr="00835AE2">
              <w:rPr>
                <w:szCs w:val="28"/>
              </w:rPr>
              <w:t>3</w:t>
            </w:r>
          </w:p>
        </w:tc>
        <w:tc>
          <w:tcPr>
            <w:tcW w:w="3261" w:type="dxa"/>
          </w:tcPr>
          <w:p w14:paraId="28D7F849" w14:textId="77777777" w:rsidR="00BC5CB4" w:rsidRPr="00835AE2" w:rsidRDefault="00BC5CB4" w:rsidP="00835AE2">
            <w:pPr>
              <w:ind w:firstLine="0"/>
              <w:jc w:val="center"/>
              <w:rPr>
                <w:szCs w:val="28"/>
              </w:rPr>
            </w:pPr>
            <w:r w:rsidRPr="00835AE2">
              <w:rPr>
                <w:szCs w:val="28"/>
              </w:rPr>
              <w:t>128,45</w:t>
            </w:r>
          </w:p>
        </w:tc>
        <w:tc>
          <w:tcPr>
            <w:tcW w:w="4388" w:type="dxa"/>
          </w:tcPr>
          <w:p w14:paraId="005CDA1F" w14:textId="77777777" w:rsidR="00BC5CB4" w:rsidRPr="00835AE2" w:rsidRDefault="00BC5CB4" w:rsidP="00835AE2">
            <w:pPr>
              <w:ind w:firstLine="0"/>
              <w:jc w:val="center"/>
              <w:rPr>
                <w:szCs w:val="28"/>
              </w:rPr>
            </w:pPr>
            <w:r w:rsidRPr="00835AE2">
              <w:rPr>
                <w:szCs w:val="28"/>
              </w:rPr>
              <w:t>0,45</w:t>
            </w:r>
          </w:p>
        </w:tc>
      </w:tr>
      <w:tr w:rsidR="00BC5CB4" w:rsidRPr="00835AE2" w14:paraId="2452AD70" w14:textId="77777777" w:rsidTr="00BC5CB4">
        <w:tc>
          <w:tcPr>
            <w:tcW w:w="1696" w:type="dxa"/>
          </w:tcPr>
          <w:p w14:paraId="7E42B322" w14:textId="77777777" w:rsidR="00BC5CB4" w:rsidRPr="00835AE2" w:rsidRDefault="00BC5CB4" w:rsidP="00835AE2">
            <w:pPr>
              <w:ind w:firstLine="0"/>
              <w:rPr>
                <w:szCs w:val="28"/>
              </w:rPr>
            </w:pPr>
            <w:r w:rsidRPr="00835AE2">
              <w:rPr>
                <w:szCs w:val="28"/>
              </w:rPr>
              <w:t>4</w:t>
            </w:r>
          </w:p>
        </w:tc>
        <w:tc>
          <w:tcPr>
            <w:tcW w:w="3261" w:type="dxa"/>
          </w:tcPr>
          <w:p w14:paraId="5FDF1F77" w14:textId="77777777" w:rsidR="00BC5CB4" w:rsidRPr="00835AE2" w:rsidRDefault="00BC5CB4" w:rsidP="00835AE2">
            <w:pPr>
              <w:ind w:firstLine="0"/>
              <w:jc w:val="center"/>
              <w:rPr>
                <w:szCs w:val="28"/>
              </w:rPr>
            </w:pPr>
            <w:r w:rsidRPr="00835AE2">
              <w:rPr>
                <w:szCs w:val="28"/>
              </w:rPr>
              <w:t>450,00</w:t>
            </w:r>
          </w:p>
        </w:tc>
        <w:tc>
          <w:tcPr>
            <w:tcW w:w="4388" w:type="dxa"/>
          </w:tcPr>
          <w:p w14:paraId="0DC6F286" w14:textId="77777777" w:rsidR="00BC5CB4" w:rsidRPr="00835AE2" w:rsidRDefault="00BC5CB4" w:rsidP="00835AE2">
            <w:pPr>
              <w:ind w:firstLine="0"/>
              <w:jc w:val="center"/>
              <w:rPr>
                <w:szCs w:val="28"/>
              </w:rPr>
            </w:pPr>
            <w:r w:rsidRPr="00835AE2">
              <w:rPr>
                <w:szCs w:val="28"/>
              </w:rPr>
              <w:t>0,73</w:t>
            </w:r>
          </w:p>
        </w:tc>
      </w:tr>
      <w:tr w:rsidR="00BC5CB4" w:rsidRPr="00835AE2" w14:paraId="04F0D930" w14:textId="77777777" w:rsidTr="00BC5CB4">
        <w:tc>
          <w:tcPr>
            <w:tcW w:w="1696" w:type="dxa"/>
          </w:tcPr>
          <w:p w14:paraId="12D4625B" w14:textId="77777777" w:rsidR="00BC5CB4" w:rsidRPr="00835AE2" w:rsidRDefault="00BC5CB4" w:rsidP="00835AE2">
            <w:pPr>
              <w:ind w:firstLine="0"/>
              <w:rPr>
                <w:szCs w:val="28"/>
              </w:rPr>
            </w:pPr>
            <w:r w:rsidRPr="00835AE2">
              <w:rPr>
                <w:szCs w:val="28"/>
              </w:rPr>
              <w:t>5</w:t>
            </w:r>
          </w:p>
        </w:tc>
        <w:tc>
          <w:tcPr>
            <w:tcW w:w="3261" w:type="dxa"/>
          </w:tcPr>
          <w:p w14:paraId="78CDE72A" w14:textId="77777777" w:rsidR="00BC5CB4" w:rsidRPr="00835AE2" w:rsidRDefault="00BC5CB4" w:rsidP="00835AE2">
            <w:pPr>
              <w:ind w:firstLine="0"/>
              <w:jc w:val="center"/>
              <w:rPr>
                <w:szCs w:val="28"/>
              </w:rPr>
            </w:pPr>
            <w:r w:rsidRPr="00835AE2">
              <w:rPr>
                <w:szCs w:val="28"/>
              </w:rPr>
              <w:t>340,12</w:t>
            </w:r>
          </w:p>
        </w:tc>
        <w:tc>
          <w:tcPr>
            <w:tcW w:w="4388" w:type="dxa"/>
          </w:tcPr>
          <w:p w14:paraId="0E2A399C" w14:textId="77777777" w:rsidR="00BC5CB4" w:rsidRPr="00835AE2" w:rsidRDefault="00BC5CB4" w:rsidP="00835AE2">
            <w:pPr>
              <w:ind w:firstLine="0"/>
              <w:jc w:val="center"/>
              <w:rPr>
                <w:szCs w:val="28"/>
              </w:rPr>
            </w:pPr>
            <w:r w:rsidRPr="00835AE2">
              <w:rPr>
                <w:szCs w:val="28"/>
              </w:rPr>
              <w:t>0,65</w:t>
            </w:r>
          </w:p>
        </w:tc>
      </w:tr>
      <w:tr w:rsidR="00BC5CB4" w:rsidRPr="00835AE2" w14:paraId="5C0AD9D6" w14:textId="77777777" w:rsidTr="00BC5CB4">
        <w:tc>
          <w:tcPr>
            <w:tcW w:w="1696" w:type="dxa"/>
          </w:tcPr>
          <w:p w14:paraId="26C8ACCD" w14:textId="77777777" w:rsidR="00BC5CB4" w:rsidRPr="00835AE2" w:rsidRDefault="00BC5CB4" w:rsidP="00835AE2">
            <w:pPr>
              <w:ind w:firstLine="0"/>
              <w:rPr>
                <w:szCs w:val="28"/>
              </w:rPr>
            </w:pPr>
            <w:r w:rsidRPr="00835AE2">
              <w:rPr>
                <w:szCs w:val="28"/>
              </w:rPr>
              <w:t>6</w:t>
            </w:r>
          </w:p>
        </w:tc>
        <w:tc>
          <w:tcPr>
            <w:tcW w:w="3261" w:type="dxa"/>
          </w:tcPr>
          <w:p w14:paraId="7B9A0E4F" w14:textId="77777777" w:rsidR="00BC5CB4" w:rsidRPr="00835AE2" w:rsidRDefault="00BC5CB4" w:rsidP="00835AE2">
            <w:pPr>
              <w:ind w:firstLine="0"/>
              <w:jc w:val="center"/>
              <w:rPr>
                <w:szCs w:val="28"/>
              </w:rPr>
            </w:pPr>
            <w:r w:rsidRPr="00835AE2">
              <w:rPr>
                <w:szCs w:val="28"/>
              </w:rPr>
              <w:t>126,8</w:t>
            </w:r>
          </w:p>
        </w:tc>
        <w:tc>
          <w:tcPr>
            <w:tcW w:w="4388" w:type="dxa"/>
          </w:tcPr>
          <w:p w14:paraId="6023E4BC" w14:textId="77777777" w:rsidR="00BC5CB4" w:rsidRPr="00835AE2" w:rsidRDefault="00BC5CB4" w:rsidP="00835AE2">
            <w:pPr>
              <w:ind w:firstLine="0"/>
              <w:jc w:val="center"/>
              <w:rPr>
                <w:szCs w:val="28"/>
              </w:rPr>
            </w:pPr>
            <w:r w:rsidRPr="00835AE2">
              <w:rPr>
                <w:szCs w:val="28"/>
              </w:rPr>
              <w:t>0,45</w:t>
            </w:r>
          </w:p>
        </w:tc>
      </w:tr>
    </w:tbl>
    <w:p w14:paraId="2753C2E8" w14:textId="77777777" w:rsidR="00BC5CB4" w:rsidRPr="00835AE2" w:rsidRDefault="00BC5CB4" w:rsidP="00835AE2">
      <w:pPr>
        <w:rPr>
          <w:szCs w:val="28"/>
        </w:rPr>
      </w:pPr>
    </w:p>
    <w:p w14:paraId="536901CA" w14:textId="208CC19F" w:rsidR="00F72DDA" w:rsidRPr="00835AE2" w:rsidRDefault="00BC5CB4" w:rsidP="00835AE2">
      <w:pPr>
        <w:rPr>
          <w:szCs w:val="28"/>
        </w:rPr>
      </w:pPr>
      <w:r w:rsidRPr="00835AE2">
        <w:rPr>
          <w:szCs w:val="28"/>
        </w:rPr>
        <w:t xml:space="preserve">На рисунке 1 </w:t>
      </w:r>
      <w:r w:rsidR="002A366F" w:rsidRPr="00835AE2">
        <w:rPr>
          <w:szCs w:val="28"/>
        </w:rPr>
        <w:t>изображена диаграмма</w:t>
      </w:r>
      <w:r w:rsidR="00EF14D0" w:rsidRPr="00835AE2">
        <w:rPr>
          <w:szCs w:val="28"/>
        </w:rPr>
        <w:t xml:space="preserve"> рассеивания по исходным данным, для определения формулы.</w:t>
      </w:r>
    </w:p>
    <w:p w14:paraId="7E769578" w14:textId="77777777" w:rsidR="00BC5CB4" w:rsidRPr="00835AE2" w:rsidRDefault="00BC5CB4" w:rsidP="00835AE2">
      <w:pPr>
        <w:spacing w:before="240" w:after="240"/>
        <w:jc w:val="center"/>
        <w:rPr>
          <w:szCs w:val="28"/>
        </w:rPr>
      </w:pPr>
      <w:r w:rsidRPr="00835AE2">
        <w:rPr>
          <w:szCs w:val="28"/>
        </w:rPr>
        <w:t>Рисунок 1 – Диаграмма рассеивания</w:t>
      </w:r>
    </w:p>
    <w:p w14:paraId="26511CCC" w14:textId="77777777" w:rsidR="00F72DDA" w:rsidRPr="00835AE2" w:rsidRDefault="00EF14D0" w:rsidP="00835AE2">
      <w:pPr>
        <w:rPr>
          <w:szCs w:val="28"/>
        </w:rPr>
      </w:pPr>
      <w:r w:rsidRPr="00835AE2">
        <w:rPr>
          <w:noProof/>
          <w:szCs w:val="28"/>
          <w:lang w:eastAsia="ru-RU"/>
        </w:rPr>
        <w:drawing>
          <wp:inline distT="0" distB="0" distL="0" distR="0" wp14:anchorId="69B949A8" wp14:editId="044BA174">
            <wp:extent cx="5486400" cy="24098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0CA8FDC" w14:textId="77777777" w:rsidR="00EF14D0" w:rsidRPr="00835AE2" w:rsidRDefault="00EF14D0" w:rsidP="00835AE2">
      <w:pPr>
        <w:rPr>
          <w:szCs w:val="28"/>
        </w:rPr>
      </w:pPr>
      <w:r w:rsidRPr="00835AE2">
        <w:rPr>
          <w:szCs w:val="28"/>
        </w:rPr>
        <w:lastRenderedPageBreak/>
        <w:t xml:space="preserve">На основе представленных данных, можно сделать вывод о позитивной зависимости, то есть с ростом значений </w:t>
      </w:r>
      <w:proofErr w:type="spellStart"/>
      <w:r w:rsidRPr="00835AE2">
        <w:rPr>
          <w:szCs w:val="28"/>
          <w:lang w:val="en-US"/>
        </w:rPr>
        <w:t>y</w:t>
      </w:r>
      <w:r w:rsidRPr="00835AE2">
        <w:rPr>
          <w:szCs w:val="28"/>
          <w:vertAlign w:val="subscript"/>
          <w:lang w:val="en-US"/>
        </w:rPr>
        <w:t>t</w:t>
      </w:r>
      <w:proofErr w:type="spellEnd"/>
      <w:r w:rsidRPr="00835AE2">
        <w:rPr>
          <w:szCs w:val="28"/>
          <w:vertAlign w:val="subscript"/>
        </w:rPr>
        <w:t xml:space="preserve"> </w:t>
      </w:r>
      <w:r w:rsidRPr="00835AE2">
        <w:rPr>
          <w:szCs w:val="28"/>
        </w:rPr>
        <w:t xml:space="preserve">растут значения </w:t>
      </w:r>
      <w:proofErr w:type="spellStart"/>
      <w:r w:rsidRPr="00835AE2">
        <w:rPr>
          <w:szCs w:val="28"/>
          <w:lang w:val="en-US"/>
        </w:rPr>
        <w:t>x</w:t>
      </w:r>
      <w:r w:rsidRPr="00835AE2">
        <w:rPr>
          <w:szCs w:val="28"/>
          <w:vertAlign w:val="subscript"/>
          <w:lang w:val="en-US"/>
        </w:rPr>
        <w:t>t</w:t>
      </w:r>
      <w:proofErr w:type="spellEnd"/>
      <w:r w:rsidRPr="00835AE2">
        <w:rPr>
          <w:szCs w:val="28"/>
        </w:rPr>
        <w:t>. Соответственно, наиболее подходящая форма взаимосвязи – линейная.</w:t>
      </w:r>
    </w:p>
    <w:p w14:paraId="45FDA4EB" w14:textId="77777777" w:rsidR="00EF14D0" w:rsidRPr="00835AE2" w:rsidRDefault="00EF14D0" w:rsidP="00835AE2">
      <w:pPr>
        <w:rPr>
          <w:szCs w:val="28"/>
        </w:rPr>
      </w:pPr>
      <w:r w:rsidRPr="00835AE2">
        <w:rPr>
          <w:szCs w:val="28"/>
        </w:rPr>
        <w:t>При помощи метода наименьших квадратов оценим параметры линейной однофакторной эконометрической модели:</w:t>
      </w:r>
    </w:p>
    <w:p w14:paraId="2EAC957A" w14:textId="77777777" w:rsidR="00EF14D0" w:rsidRPr="00835AE2" w:rsidRDefault="00EE41B3" w:rsidP="00835AE2">
      <w:pPr>
        <w:jc w:val="center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Cs w:val="28"/>
              </w:rPr>
              <m:t>t</m:t>
            </m:r>
          </m:sub>
        </m:sSub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  <m: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t</m:t>
            </m:r>
          </m:sub>
        </m:sSub>
        <m: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Cs w:val="28"/>
              </w:rPr>
              <m:t>t</m:t>
            </m:r>
          </m:sub>
        </m:sSub>
      </m:oMath>
      <w:r w:rsidR="00EF14D0" w:rsidRPr="00835AE2">
        <w:rPr>
          <w:rFonts w:eastAsiaTheme="minorEastAsia"/>
          <w:szCs w:val="28"/>
        </w:rPr>
        <w:t xml:space="preserve">                        (1.1)</w:t>
      </w:r>
    </w:p>
    <w:p w14:paraId="2DEF3573" w14:textId="77777777" w:rsidR="00723541" w:rsidRPr="00835AE2" w:rsidRDefault="00723541" w:rsidP="00835AE2">
      <w:pPr>
        <w:jc w:val="center"/>
        <w:rPr>
          <w:rFonts w:eastAsiaTheme="minorEastAsia"/>
          <w:szCs w:val="28"/>
        </w:rPr>
      </w:pPr>
    </w:p>
    <w:p w14:paraId="4CE2453C" w14:textId="77777777" w:rsidR="00EF14D0" w:rsidRPr="00835AE2" w:rsidRDefault="00EE41B3" w:rsidP="00835AE2">
      <w:pPr>
        <w:jc w:val="center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t</m:t>
                    </m:r>
                  </m:sub>
                </m:sSub>
              </m:e>
            </m:nary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naryPr>
              <m:sub/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p>
                </m:sSubSup>
              </m:e>
            </m:nary>
            <m:r>
              <w:rPr>
                <w:rFonts w:ascii="Cambria Math" w:hAnsi="Cambria Math"/>
                <w:szCs w:val="28"/>
              </w:rPr>
              <m:t>-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t</m:t>
                    </m:r>
                  </m:sub>
                </m:sSub>
              </m:e>
            </m:nary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t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Cs w:val="28"/>
              </w:rPr>
              <m:t>×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naryPr>
              <m:sub/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p>
                </m:sSubSup>
              </m:e>
            </m:nary>
            <m:r>
              <w:rPr>
                <w:rFonts w:ascii="Cambria Math" w:hAnsi="Cambria Math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(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t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3</m:t>
            </m:r>
            <m:r>
              <w:rPr>
                <w:rFonts w:ascii="Cambria Math" w:eastAsiaTheme="minorEastAsia" w:hAnsi="Cambria Math"/>
                <w:szCs w:val="28"/>
                <w:lang w:val="en-US"/>
              </w:rPr>
              <m:t> </m:t>
            </m:r>
            <m:r>
              <w:rPr>
                <w:rFonts w:ascii="Cambria Math" w:eastAsiaTheme="minorEastAsia" w:hAnsi="Cambria Math"/>
                <w:szCs w:val="28"/>
              </w:rPr>
              <m:t>435,881-3</m:t>
            </m:r>
            <m:r>
              <w:rPr>
                <w:rFonts w:ascii="Cambria Math" w:eastAsiaTheme="minorEastAsia" w:hAnsi="Cambria Math"/>
                <w:szCs w:val="28"/>
                <w:lang w:val="en-US"/>
              </w:rPr>
              <m:t> </m:t>
            </m:r>
            <m:r>
              <w:rPr>
                <w:rFonts w:ascii="Cambria Math" w:eastAsiaTheme="minorEastAsia" w:hAnsi="Cambria Math"/>
                <w:szCs w:val="28"/>
              </w:rPr>
              <m:t>576,508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6×2,0865-12,0409</m:t>
            </m:r>
          </m:den>
        </m:f>
        <m:r>
          <w:rPr>
            <w:rFonts w:ascii="Cambria Math" w:eastAsiaTheme="minorEastAsia" w:hAnsi="Cambria Math"/>
            <w:szCs w:val="28"/>
          </w:rPr>
          <m:t>=-294,137</m:t>
        </m:r>
      </m:oMath>
      <w:r w:rsidR="00723541" w:rsidRPr="00835AE2">
        <w:rPr>
          <w:rFonts w:eastAsiaTheme="minorEastAsia"/>
          <w:i/>
          <w:szCs w:val="28"/>
        </w:rPr>
        <w:t xml:space="preserve">     </w:t>
      </w:r>
      <w:r w:rsidR="00723541" w:rsidRPr="00835AE2">
        <w:rPr>
          <w:rFonts w:eastAsiaTheme="minorEastAsia"/>
          <w:szCs w:val="28"/>
        </w:rPr>
        <w:t>(1.2)</w:t>
      </w:r>
    </w:p>
    <w:p w14:paraId="1F86DB14" w14:textId="77777777" w:rsidR="00723541" w:rsidRPr="00835AE2" w:rsidRDefault="00723541" w:rsidP="00835AE2">
      <w:pPr>
        <w:jc w:val="center"/>
        <w:rPr>
          <w:rFonts w:eastAsiaTheme="minorEastAsia"/>
          <w:szCs w:val="28"/>
        </w:rPr>
      </w:pPr>
    </w:p>
    <w:p w14:paraId="138F3E4C" w14:textId="77777777" w:rsidR="00387810" w:rsidRPr="00835AE2" w:rsidRDefault="00EE41B3" w:rsidP="00835AE2">
      <w:pPr>
        <w:jc w:val="center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Cs w:val="28"/>
              </w:rPr>
              <m:t>×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Cs w:val="28"/>
                  </w:rPr>
                  <m:t>-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t</m:t>
                        </m:r>
                      </m:sub>
                    </m:sSub>
                  </m:e>
                </m:nary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t</m:t>
                        </m:r>
                      </m:sub>
                    </m:sSub>
                  </m:e>
                </m:nary>
              </m:e>
            </m:nary>
          </m:num>
          <m:den>
            <m:r>
              <w:rPr>
                <w:rFonts w:ascii="Cambria Math" w:hAnsi="Cambria Math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Cs w:val="28"/>
              </w:rPr>
              <m:t>×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naryPr>
              <m:sub/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p>
                </m:sSubSup>
              </m:e>
            </m:nary>
            <m:r>
              <w:rPr>
                <w:rFonts w:ascii="Cambria Math" w:hAnsi="Cambria Math"/>
                <w:szCs w:val="28"/>
              </w:rPr>
              <m:t>-(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p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Cs w:val="28"/>
                      </w:rPr>
                      <m:t>)</m:t>
                    </m:r>
                  </m:e>
                </m:nary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6×1</m:t>
            </m:r>
            <m:r>
              <w:rPr>
                <w:rFonts w:ascii="Cambria Math" w:hAnsi="Cambria Math"/>
                <w:szCs w:val="28"/>
                <w:lang w:val="en-US"/>
              </w:rPr>
              <m:t> </m:t>
            </m:r>
            <m:r>
              <w:rPr>
                <w:rFonts w:ascii="Cambria Math" w:hAnsi="Cambria Math"/>
                <w:szCs w:val="28"/>
              </w:rPr>
              <m:t>030,694-5</m:t>
            </m:r>
            <m:r>
              <w:rPr>
                <w:rFonts w:ascii="Cambria Math" w:hAnsi="Cambria Math"/>
                <w:szCs w:val="28"/>
                <w:lang w:val="en-US"/>
              </w:rPr>
              <m:t> </m:t>
            </m:r>
            <m:r>
              <w:rPr>
                <w:rFonts w:ascii="Cambria Math" w:hAnsi="Cambria Math"/>
                <w:szCs w:val="28"/>
              </w:rPr>
              <m:t>714,118</m:t>
            </m:r>
          </m:num>
          <m:den>
            <m:r>
              <w:rPr>
                <w:rFonts w:ascii="Cambria Math" w:hAnsi="Cambria Math"/>
                <w:szCs w:val="28"/>
              </w:rPr>
              <m:t>6×2,0865-12,0409</m:t>
            </m:r>
          </m:den>
        </m:f>
        <m:r>
          <w:rPr>
            <w:rFonts w:ascii="Cambria Math" w:hAnsi="Cambria Math"/>
            <w:szCs w:val="28"/>
          </w:rPr>
          <m:t>=983,1533</m:t>
        </m:r>
      </m:oMath>
      <w:r w:rsidR="00723541" w:rsidRPr="00835AE2">
        <w:rPr>
          <w:rFonts w:eastAsiaTheme="minorEastAsia"/>
          <w:i/>
          <w:szCs w:val="28"/>
        </w:rPr>
        <w:t xml:space="preserve">     </w:t>
      </w:r>
      <w:r w:rsidR="00723541" w:rsidRPr="00835AE2">
        <w:rPr>
          <w:rFonts w:eastAsiaTheme="minorEastAsia"/>
          <w:szCs w:val="28"/>
        </w:rPr>
        <w:t>(1.3)</w:t>
      </w:r>
    </w:p>
    <w:p w14:paraId="7955ADA4" w14:textId="77777777" w:rsidR="00723541" w:rsidRPr="00835AE2" w:rsidRDefault="00723541" w:rsidP="00835AE2">
      <w:pPr>
        <w:jc w:val="center"/>
        <w:rPr>
          <w:rFonts w:eastAsiaTheme="minorEastAsia"/>
          <w:szCs w:val="28"/>
        </w:rPr>
      </w:pPr>
    </w:p>
    <w:p w14:paraId="66F36A15" w14:textId="77777777" w:rsidR="00723541" w:rsidRPr="00835AE2" w:rsidRDefault="00EE41B3" w:rsidP="00835AE2">
      <w:pPr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t</m:t>
            </m:r>
          </m:sub>
        </m:sSub>
        <m:r>
          <w:rPr>
            <w:rFonts w:ascii="Cambria Math" w:hAnsi="Cambria Math"/>
            <w:szCs w:val="28"/>
          </w:rPr>
          <m:t>=-294,137+983,1533×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t</m:t>
            </m:r>
          </m:sub>
        </m:sSub>
      </m:oMath>
      <w:r w:rsidR="00F9319B" w:rsidRPr="00835AE2">
        <w:rPr>
          <w:rFonts w:eastAsiaTheme="minorEastAsia"/>
          <w:szCs w:val="28"/>
        </w:rPr>
        <w:t xml:space="preserve">             (1.4)</w:t>
      </w:r>
    </w:p>
    <w:p w14:paraId="23398B10" w14:textId="77777777" w:rsidR="00BD63E1" w:rsidRPr="00835AE2" w:rsidRDefault="00BD63E1" w:rsidP="00835AE2">
      <w:pPr>
        <w:rPr>
          <w:szCs w:val="28"/>
        </w:rPr>
      </w:pPr>
    </w:p>
    <w:p w14:paraId="719899B6" w14:textId="77777777" w:rsidR="00F9319B" w:rsidRPr="00835AE2" w:rsidRDefault="00F9319B" w:rsidP="00835AE2">
      <w:pPr>
        <w:rPr>
          <w:szCs w:val="28"/>
        </w:rPr>
      </w:pPr>
      <w:r w:rsidRPr="00835AE2">
        <w:rPr>
          <w:szCs w:val="28"/>
        </w:rPr>
        <w:t>Получается, что при увеличении мощностей оборудования на 1%, выручка увеличится на 983,1533 тыс. руб.</w:t>
      </w:r>
    </w:p>
    <w:p w14:paraId="064DBE1A" w14:textId="25CC8951" w:rsidR="002A366F" w:rsidRPr="00835AE2" w:rsidRDefault="00F9319B" w:rsidP="00835AE2">
      <w:pPr>
        <w:rPr>
          <w:szCs w:val="28"/>
        </w:rPr>
      </w:pPr>
      <w:r w:rsidRPr="00835AE2">
        <w:rPr>
          <w:szCs w:val="28"/>
        </w:rPr>
        <w:t xml:space="preserve">В заключении следует отметить, что </w:t>
      </w:r>
      <w:r w:rsidR="00617B7C">
        <w:rPr>
          <w:szCs w:val="28"/>
        </w:rPr>
        <w:t>на</w:t>
      </w:r>
      <w:r w:rsidRPr="00835AE2">
        <w:rPr>
          <w:szCs w:val="28"/>
        </w:rPr>
        <w:t xml:space="preserve"> основе представленного примера расчетов при помощи метода наименьших квадратов, выявлено, что при увеличении производственных мощностей на достаточно малую долю – значительно возрастают объемы производства, что положительно может сказаться на дальнейшем развитии экономики страны.</w:t>
      </w:r>
    </w:p>
    <w:p w14:paraId="2C467A0C" w14:textId="77777777" w:rsidR="00F9319B" w:rsidRPr="00835AE2" w:rsidRDefault="00F9319B" w:rsidP="00835AE2">
      <w:pPr>
        <w:rPr>
          <w:szCs w:val="28"/>
        </w:rPr>
      </w:pPr>
    </w:p>
    <w:p w14:paraId="6F829CF8" w14:textId="77777777" w:rsidR="00F9319B" w:rsidRPr="00835AE2" w:rsidRDefault="00F9319B" w:rsidP="00835AE2">
      <w:pPr>
        <w:pStyle w:val="1"/>
        <w:jc w:val="left"/>
        <w:rPr>
          <w:sz w:val="28"/>
          <w:szCs w:val="28"/>
        </w:rPr>
      </w:pPr>
      <w:r w:rsidRPr="00835AE2">
        <w:rPr>
          <w:sz w:val="28"/>
          <w:szCs w:val="28"/>
        </w:rPr>
        <w:t>Список использованных источников</w:t>
      </w:r>
    </w:p>
    <w:p w14:paraId="00CCD8C6" w14:textId="77777777" w:rsidR="00F9319B" w:rsidRPr="00835AE2" w:rsidRDefault="00F9319B" w:rsidP="00835AE2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rPr>
          <w:szCs w:val="28"/>
        </w:rPr>
      </w:pPr>
      <w:r w:rsidRPr="00835AE2">
        <w:rPr>
          <w:szCs w:val="28"/>
        </w:rPr>
        <w:t xml:space="preserve">Катаева В.И. Методы принятия управленческих решений [Текст]: учебное пособие / В.И. Катаева, М.С. Козырев. – Москва-Берлин: </w:t>
      </w:r>
      <w:proofErr w:type="spellStart"/>
      <w:r w:rsidRPr="00835AE2">
        <w:rPr>
          <w:szCs w:val="28"/>
        </w:rPr>
        <w:t>Директ</w:t>
      </w:r>
      <w:proofErr w:type="spellEnd"/>
      <w:r w:rsidRPr="00835AE2">
        <w:rPr>
          <w:szCs w:val="28"/>
        </w:rPr>
        <w:t>-Медиа, 2015. – 196 с.</w:t>
      </w:r>
    </w:p>
    <w:p w14:paraId="4DA4CF03" w14:textId="77777777" w:rsidR="00F9319B" w:rsidRPr="00835AE2" w:rsidRDefault="00F9319B" w:rsidP="00835AE2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rPr>
          <w:szCs w:val="28"/>
        </w:rPr>
      </w:pPr>
      <w:r w:rsidRPr="00835AE2">
        <w:rPr>
          <w:szCs w:val="28"/>
        </w:rPr>
        <w:t xml:space="preserve">Аверина Т.Н., Левкина Н.Н. Статистические методы в экономическом анализе: направления и проблемы применения [Текст] / Т.Н. Аверина, Н.Н. </w:t>
      </w:r>
      <w:r w:rsidRPr="00835AE2">
        <w:rPr>
          <w:szCs w:val="28"/>
        </w:rPr>
        <w:lastRenderedPageBreak/>
        <w:t>Левкина // Известия Тульского государственного университета. Экономические и юридические науки. – 2013. – № 2-1. С. 138-143.</w:t>
      </w:r>
    </w:p>
    <w:p w14:paraId="46A690F0" w14:textId="77777777" w:rsidR="0003487C" w:rsidRPr="00835AE2" w:rsidRDefault="0003487C" w:rsidP="00835AE2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rPr>
          <w:szCs w:val="28"/>
        </w:rPr>
      </w:pPr>
      <w:proofErr w:type="spellStart"/>
      <w:r w:rsidRPr="00835AE2">
        <w:rPr>
          <w:szCs w:val="28"/>
        </w:rPr>
        <w:t>Кальницкая</w:t>
      </w:r>
      <w:proofErr w:type="spellEnd"/>
      <w:r w:rsidRPr="00835AE2">
        <w:rPr>
          <w:szCs w:val="28"/>
        </w:rPr>
        <w:t xml:space="preserve"> И.В., Данилов А.Н. Управленческие решения в модели управления организацией [Текст] / И.В. </w:t>
      </w:r>
      <w:proofErr w:type="spellStart"/>
      <w:r w:rsidRPr="00835AE2">
        <w:rPr>
          <w:szCs w:val="28"/>
        </w:rPr>
        <w:t>Кальницкая</w:t>
      </w:r>
      <w:proofErr w:type="spellEnd"/>
      <w:r w:rsidRPr="00835AE2">
        <w:rPr>
          <w:szCs w:val="28"/>
        </w:rPr>
        <w:t>, А.Н. Данилов // Омский научный вестник. – 2014. – № 3(129). С. 45-47.</w:t>
      </w:r>
    </w:p>
    <w:p w14:paraId="7F132D3C" w14:textId="77777777" w:rsidR="00F9319B" w:rsidRPr="00835AE2" w:rsidRDefault="00F9319B" w:rsidP="00835AE2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rPr>
          <w:szCs w:val="28"/>
        </w:rPr>
      </w:pPr>
      <w:proofErr w:type="spellStart"/>
      <w:r w:rsidRPr="00835AE2">
        <w:rPr>
          <w:szCs w:val="28"/>
        </w:rPr>
        <w:t>Магданов</w:t>
      </w:r>
      <w:proofErr w:type="spellEnd"/>
      <w:r w:rsidRPr="00835AE2">
        <w:rPr>
          <w:szCs w:val="28"/>
        </w:rPr>
        <w:t xml:space="preserve"> П.Н. Современная парадигма стратегического планирования [Текст] / П.Н. </w:t>
      </w:r>
      <w:proofErr w:type="spellStart"/>
      <w:r w:rsidRPr="00835AE2">
        <w:rPr>
          <w:szCs w:val="28"/>
        </w:rPr>
        <w:t>Магданов</w:t>
      </w:r>
      <w:proofErr w:type="spellEnd"/>
      <w:r w:rsidRPr="00835AE2">
        <w:rPr>
          <w:szCs w:val="28"/>
        </w:rPr>
        <w:t xml:space="preserve"> // ARS ADMINISTRANDI. – 2014. – № 1. С. 5-16.</w:t>
      </w:r>
    </w:p>
    <w:p w14:paraId="394A12A0" w14:textId="77777777" w:rsidR="00F9319B" w:rsidRPr="00835AE2" w:rsidRDefault="00F9319B" w:rsidP="00835AE2">
      <w:pPr>
        <w:rPr>
          <w:szCs w:val="28"/>
        </w:rPr>
      </w:pPr>
      <w:bookmarkStart w:id="0" w:name="_GoBack"/>
      <w:bookmarkEnd w:id="0"/>
    </w:p>
    <w:sectPr w:rsidR="00F9319B" w:rsidRPr="0083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2187D"/>
    <w:multiLevelType w:val="hybridMultilevel"/>
    <w:tmpl w:val="755016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1D110DE"/>
    <w:multiLevelType w:val="hybridMultilevel"/>
    <w:tmpl w:val="8AE26BC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5EA2AF0"/>
    <w:multiLevelType w:val="hybridMultilevel"/>
    <w:tmpl w:val="53CAD740"/>
    <w:lvl w:ilvl="0" w:tplc="E99244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7222B85"/>
    <w:multiLevelType w:val="hybridMultilevel"/>
    <w:tmpl w:val="6C6E3F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05"/>
    <w:rsid w:val="0003487C"/>
    <w:rsid w:val="00110B4D"/>
    <w:rsid w:val="00187321"/>
    <w:rsid w:val="002A366F"/>
    <w:rsid w:val="00387810"/>
    <w:rsid w:val="003E50DA"/>
    <w:rsid w:val="003F666C"/>
    <w:rsid w:val="00415F0F"/>
    <w:rsid w:val="004B0BAB"/>
    <w:rsid w:val="00616EB6"/>
    <w:rsid w:val="00617B7C"/>
    <w:rsid w:val="00697AEF"/>
    <w:rsid w:val="006B6824"/>
    <w:rsid w:val="00723541"/>
    <w:rsid w:val="007B53F2"/>
    <w:rsid w:val="00835AE2"/>
    <w:rsid w:val="008B7C8A"/>
    <w:rsid w:val="008E5665"/>
    <w:rsid w:val="009F0CD6"/>
    <w:rsid w:val="00A070B4"/>
    <w:rsid w:val="00B23E7B"/>
    <w:rsid w:val="00BB2E71"/>
    <w:rsid w:val="00BC5CB4"/>
    <w:rsid w:val="00BD63E1"/>
    <w:rsid w:val="00C20A21"/>
    <w:rsid w:val="00DA4ECC"/>
    <w:rsid w:val="00E30F6B"/>
    <w:rsid w:val="00E76C96"/>
    <w:rsid w:val="00E83105"/>
    <w:rsid w:val="00EC0216"/>
    <w:rsid w:val="00EE41B3"/>
    <w:rsid w:val="00EF14D0"/>
    <w:rsid w:val="00EF4D01"/>
    <w:rsid w:val="00F049D0"/>
    <w:rsid w:val="00F72DDA"/>
    <w:rsid w:val="00F9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0D82"/>
  <w15:chartTrackingRefBased/>
  <w15:docId w15:val="{6228B9CC-4F2D-4B3B-AADB-983CCFD8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3E1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72DDA"/>
    <w:pPr>
      <w:keepNext/>
      <w:keepLines/>
      <w:spacing w:before="360" w:after="360"/>
      <w:jc w:val="center"/>
      <w:outlineLvl w:val="0"/>
    </w:pPr>
    <w:rPr>
      <w:rFonts w:eastAsiaTheme="majorEastAsia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DDA"/>
    <w:rPr>
      <w:rFonts w:ascii="Times New Roman" w:eastAsiaTheme="majorEastAsia" w:hAnsi="Times New Roman" w:cstheme="majorBidi"/>
      <w:sz w:val="32"/>
      <w:szCs w:val="32"/>
    </w:rPr>
  </w:style>
  <w:style w:type="paragraph" w:styleId="a3">
    <w:name w:val="List Paragraph"/>
    <w:basedOn w:val="a"/>
    <w:uiPriority w:val="34"/>
    <w:qFormat/>
    <w:rsid w:val="00187321"/>
    <w:pPr>
      <w:ind w:left="720"/>
      <w:contextualSpacing/>
    </w:pPr>
  </w:style>
  <w:style w:type="table" w:styleId="a4">
    <w:name w:val="Table Grid"/>
    <w:basedOn w:val="a1"/>
    <w:uiPriority w:val="39"/>
    <w:rsid w:val="00BC5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EF14D0"/>
    <w:rPr>
      <w:color w:val="808080"/>
    </w:rPr>
  </w:style>
  <w:style w:type="character" w:styleId="a6">
    <w:name w:val="Hyperlink"/>
    <w:basedOn w:val="a0"/>
    <w:uiPriority w:val="99"/>
    <w:unhideWhenUsed/>
    <w:rsid w:val="00F93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5400" cap="flat" cmpd="dbl" algn="ctr">
              <a:noFill/>
              <a:round/>
            </a:ln>
            <a:effectLst/>
          </c:spPr>
          <c:marker>
            <c:symbol val="circle"/>
            <c:size val="6"/>
            <c:spPr>
              <a:noFill/>
              <a:ln w="34925" cap="flat" cmpd="dbl" algn="ctr">
                <a:solidFill>
                  <a:schemeClr val="dk1">
                    <a:tint val="88500"/>
                    <a:lumMod val="75000"/>
                    <a:alpha val="70000"/>
                  </a:schemeClr>
                </a:solidFill>
                <a:round/>
              </a:ln>
              <a:effectLst/>
            </c:spPr>
          </c:marker>
          <c:xVal>
            <c:numRef>
              <c:f>Лист1!$A$2:$A$7</c:f>
              <c:numCache>
                <c:formatCode>General</c:formatCode>
                <c:ptCount val="6"/>
                <c:pt idx="0">
                  <c:v>0.69</c:v>
                </c:pt>
                <c:pt idx="1">
                  <c:v>0.5</c:v>
                </c:pt>
                <c:pt idx="2">
                  <c:v>0.45</c:v>
                </c:pt>
                <c:pt idx="3">
                  <c:v>0.73</c:v>
                </c:pt>
                <c:pt idx="4">
                  <c:v>0.65</c:v>
                </c:pt>
                <c:pt idx="5">
                  <c:v>0.45</c:v>
                </c:pt>
              </c:numCache>
            </c:numRef>
          </c:xVal>
          <c:yVal>
            <c:numRef>
              <c:f>Лист1!$B$2:$B$7</c:f>
              <c:numCache>
                <c:formatCode>General</c:formatCode>
                <c:ptCount val="6"/>
                <c:pt idx="0">
                  <c:v>345.15</c:v>
                </c:pt>
                <c:pt idx="1">
                  <c:v>256.2</c:v>
                </c:pt>
                <c:pt idx="2">
                  <c:v>128.44999999999999</c:v>
                </c:pt>
                <c:pt idx="3">
                  <c:v>450</c:v>
                </c:pt>
                <c:pt idx="4">
                  <c:v>340.12</c:v>
                </c:pt>
                <c:pt idx="5">
                  <c:v>126.8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4C7-457C-B4B3-6303734AAA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0167960"/>
        <c:axId val="590166784"/>
      </c:scatterChart>
      <c:valAx>
        <c:axId val="5901679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b="1"/>
                  <a:t>x</a:t>
                </a:r>
                <a:r>
                  <a:rPr lang="en-US" b="1" baseline="-25000"/>
                  <a:t>t</a:t>
                </a:r>
                <a:endParaRPr lang="ru-RU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90166784"/>
        <c:crosses val="autoZero"/>
        <c:crossBetween val="midCat"/>
      </c:valAx>
      <c:valAx>
        <c:axId val="590166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b="1"/>
                  <a:t>y</a:t>
                </a:r>
                <a:r>
                  <a:rPr lang="en-US" b="1" baseline="-25000"/>
                  <a:t>t</a:t>
                </a:r>
                <a:endParaRPr lang="ru-RU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9016796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5400" cap="flat" cmpd="dbl" algn="ctr">
        <a:solidFill>
          <a:schemeClr val="phClr">
            <a:alpha val="5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34925" cap="flat" cmpd="dbl" algn="ctr">
        <a:solidFill>
          <a:schemeClr val="phClr">
            <a:lumMod val="75000"/>
            <a:alpha val="70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kern="1200" spc="0" normalizeH="0" baseline="0"/>
  </cs:title>
  <cs:trendline>
    <cs:lnRef idx="0">
      <cs:styleClr val="0"/>
    </cs:lnRef>
    <cs:fillRef idx="0"/>
    <cs:effectRef idx="0"/>
    <cs:fontRef idx="minor">
      <a:schemeClr val="tx1"/>
    </cs:fontRef>
    <cs:spPr>
      <a:ln w="38100" cap="rnd" cmpd="sng" algn="ctr">
        <a:solidFill>
          <a:schemeClr val="phClr">
            <a:lumMod val="75000"/>
            <a:alpha val="25000"/>
          </a:schemeClr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Ирина Скопина</cp:lastModifiedBy>
  <cp:revision>2</cp:revision>
  <dcterms:created xsi:type="dcterms:W3CDTF">2017-04-27T06:20:00Z</dcterms:created>
  <dcterms:modified xsi:type="dcterms:W3CDTF">2017-04-27T06:20:00Z</dcterms:modified>
</cp:coreProperties>
</file>