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F" w:rsidRPr="000E7ECF" w:rsidRDefault="000E7ECF" w:rsidP="000E7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ECF">
        <w:rPr>
          <w:rFonts w:ascii="Times New Roman" w:hAnsi="Times New Roman" w:cs="Times New Roman"/>
          <w:b/>
          <w:sz w:val="28"/>
          <w:szCs w:val="28"/>
        </w:rPr>
        <w:t>Дорофеева Ю.В.</w:t>
      </w:r>
    </w:p>
    <w:p w:rsidR="000E7ECF" w:rsidRPr="000E7ECF" w:rsidRDefault="000E7ECF" w:rsidP="000E7E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7ECF">
        <w:rPr>
          <w:rFonts w:ascii="Times New Roman" w:hAnsi="Times New Roman" w:cs="Times New Roman"/>
          <w:b/>
          <w:i/>
          <w:sz w:val="28"/>
          <w:szCs w:val="28"/>
        </w:rPr>
        <w:t>Студент магистратуры</w:t>
      </w:r>
    </w:p>
    <w:p w:rsidR="000E7ECF" w:rsidRPr="000E7ECF" w:rsidRDefault="000E7ECF" w:rsidP="000E7EC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E7ECF">
        <w:rPr>
          <w:rFonts w:ascii="Times New Roman" w:hAnsi="Times New Roman" w:cs="Times New Roman"/>
          <w:b/>
          <w:i/>
          <w:sz w:val="28"/>
          <w:szCs w:val="28"/>
        </w:rPr>
        <w:t>Финансовый</w:t>
      </w:r>
      <w:proofErr w:type="gramEnd"/>
      <w:r w:rsidRPr="000E7ECF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 при Правительстве РФ, Москва</w:t>
      </w:r>
    </w:p>
    <w:p w:rsidR="000E7ECF" w:rsidRDefault="000E7ECF" w:rsidP="000E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CF" w:rsidRPr="000E7ECF" w:rsidRDefault="000E7ECF" w:rsidP="000E7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E7ECF">
        <w:rPr>
          <w:rFonts w:ascii="Times New Roman" w:hAnsi="Times New Roman" w:cs="Times New Roman"/>
          <w:b/>
          <w:caps/>
          <w:sz w:val="28"/>
          <w:szCs w:val="28"/>
        </w:rPr>
        <w:t>Особенности инвестиционной политики российских страховых компаний</w:t>
      </w:r>
    </w:p>
    <w:p w:rsidR="000E7ECF" w:rsidRDefault="000E7ECF" w:rsidP="000E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4F">
        <w:rPr>
          <w:rFonts w:ascii="Times New Roman" w:hAnsi="Times New Roman" w:cs="Times New Roman"/>
          <w:sz w:val="28"/>
          <w:szCs w:val="28"/>
        </w:rPr>
        <w:t>Одним из аспектов формирования инвестиционной политики страховой компании является выбор структуры и направлений инвестирования ее средств, поэтому нам, прежде всего, необходимо понять современное состояние инв</w:t>
      </w:r>
      <w:r w:rsidRPr="00E11E4F">
        <w:rPr>
          <w:rFonts w:ascii="Times New Roman" w:hAnsi="Times New Roman" w:cs="Times New Roman"/>
          <w:sz w:val="28"/>
          <w:szCs w:val="28"/>
        </w:rPr>
        <w:t>е</w:t>
      </w:r>
      <w:r w:rsidRPr="00E11E4F">
        <w:rPr>
          <w:rFonts w:ascii="Times New Roman" w:hAnsi="Times New Roman" w:cs="Times New Roman"/>
          <w:sz w:val="28"/>
          <w:szCs w:val="28"/>
        </w:rPr>
        <w:t>стиционных портфелей страховщиков.</w:t>
      </w:r>
    </w:p>
    <w:p w:rsidR="000E7ECF" w:rsidRDefault="000E7ECF" w:rsidP="000E7EC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CC2">
        <w:rPr>
          <w:rFonts w:ascii="Times New Roman" w:hAnsi="Times New Roman" w:cs="Times New Roman"/>
          <w:sz w:val="28"/>
          <w:szCs w:val="28"/>
        </w:rPr>
        <w:t xml:space="preserve">Средняя структура инвестиций российских страховщиков по состоянию 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B32CC2">
        <w:rPr>
          <w:rFonts w:ascii="Times New Roman" w:hAnsi="Times New Roman" w:cs="Times New Roman"/>
          <w:sz w:val="28"/>
          <w:szCs w:val="28"/>
        </w:rPr>
        <w:t xml:space="preserve"> г. представлена на рисунке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2CC2">
        <w:rPr>
          <w:rFonts w:ascii="Times New Roman" w:hAnsi="Times New Roman" w:cs="Times New Roman"/>
          <w:sz w:val="28"/>
          <w:szCs w:val="28"/>
        </w:rPr>
        <w:t>. По диаграмме видно, что в структуре и</w:t>
      </w:r>
      <w:r w:rsidRPr="00B32CC2">
        <w:rPr>
          <w:rFonts w:ascii="Times New Roman" w:hAnsi="Times New Roman" w:cs="Times New Roman"/>
          <w:sz w:val="28"/>
          <w:szCs w:val="28"/>
        </w:rPr>
        <w:t>н</w:t>
      </w:r>
      <w:r w:rsidRPr="00B32CC2">
        <w:rPr>
          <w:rFonts w:ascii="Times New Roman" w:hAnsi="Times New Roman" w:cs="Times New Roman"/>
          <w:sz w:val="28"/>
          <w:szCs w:val="28"/>
        </w:rPr>
        <w:t xml:space="preserve">вестиций страховых компаний преобладают банковские депозиты, на которые приходится приблизительно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B32CC2">
        <w:rPr>
          <w:rFonts w:ascii="Times New Roman" w:hAnsi="Times New Roman" w:cs="Times New Roman"/>
          <w:sz w:val="28"/>
          <w:szCs w:val="28"/>
        </w:rPr>
        <w:t xml:space="preserve"> всех вложений. </w:t>
      </w:r>
      <w:proofErr w:type="gramStart"/>
      <w:r w:rsidRPr="00B32CC2">
        <w:rPr>
          <w:rFonts w:ascii="Times New Roman" w:hAnsi="Times New Roman" w:cs="Times New Roman"/>
          <w:sz w:val="28"/>
          <w:szCs w:val="28"/>
        </w:rPr>
        <w:t xml:space="preserve">После депозитов наибольшую долю в инвестициях занимают долговые ценные бумаги и </w:t>
      </w:r>
      <w:r>
        <w:rPr>
          <w:rFonts w:ascii="Times New Roman" w:hAnsi="Times New Roman" w:cs="Times New Roman"/>
          <w:sz w:val="28"/>
          <w:szCs w:val="28"/>
        </w:rPr>
        <w:t>деб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торская задолженность (</w:t>
      </w:r>
      <w:r w:rsidRPr="00B32CC2">
        <w:rPr>
          <w:rFonts w:ascii="Times New Roman" w:hAnsi="Times New Roman" w:cs="Times New Roman"/>
          <w:sz w:val="28"/>
          <w:szCs w:val="28"/>
        </w:rPr>
        <w:t>причем необходимо отметить, что дол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32CC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кций,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 муниципальных ценных бумаг, доли перестраховщиков в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ховых резервах, денежные средства </w:t>
      </w:r>
      <w:r w:rsidRPr="00B32CC2">
        <w:rPr>
          <w:rFonts w:ascii="Times New Roman" w:hAnsi="Times New Roman" w:cs="Times New Roman"/>
          <w:sz w:val="28"/>
          <w:szCs w:val="28"/>
        </w:rPr>
        <w:t>в портфеле в среднем по</w:t>
      </w:r>
      <w:r>
        <w:rPr>
          <w:rFonts w:ascii="Times New Roman" w:hAnsi="Times New Roman" w:cs="Times New Roman"/>
          <w:sz w:val="28"/>
          <w:szCs w:val="28"/>
        </w:rPr>
        <w:t xml:space="preserve"> рынку имеют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 в 7-8%. Также заметим, что наименьшую</w:t>
      </w:r>
      <w:r w:rsidRPr="00B32CC2">
        <w:rPr>
          <w:rFonts w:ascii="Times New Roman" w:hAnsi="Times New Roman" w:cs="Times New Roman"/>
          <w:sz w:val="28"/>
          <w:szCs w:val="28"/>
        </w:rPr>
        <w:t xml:space="preserve"> часть ин</w:t>
      </w:r>
      <w:r>
        <w:rPr>
          <w:rFonts w:ascii="Times New Roman" w:hAnsi="Times New Roman" w:cs="Times New Roman"/>
          <w:sz w:val="28"/>
          <w:szCs w:val="28"/>
        </w:rPr>
        <w:t xml:space="preserve">вестиций страховщиков составляют вложения в векселя, инвестиционные паи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прочие активы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о данным Центрального Банка Российской Федерации объем страховых резервов  по итогам 2016 г. составляет 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1110,1 млрд. рублей,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годовой темп пр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роста составля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>ет 13,5%.</w:t>
      </w:r>
    </w:p>
    <w:p w:rsidR="000E7ECF" w:rsidRDefault="000E7ECF" w:rsidP="000E7EC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Страховые резервы по страхованию иному, че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м страхование жизни, ув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личились незначительно и 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>составили 795,4 млрд. руб.</w:t>
      </w:r>
    </w:p>
    <w:p w:rsidR="000E7ECF" w:rsidRPr="000E7ECF" w:rsidRDefault="000E7ECF" w:rsidP="000E7EC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же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время рост объема резервов по страхованию жизни составил 2,3% (до 314,7 млрд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рублей), что является прямым следствием роста объема собра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>ных премий по этому виду страхования.</w:t>
      </w:r>
      <w:r w:rsidRPr="000C2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>Совокупный объем активов росси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ских страховщиков продолжает расти: годовые темпы прироста составляют 10,5%, объем активов на конец отчетного периода - 1803,6 млрд. 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руб. При этом отношение активов к ВВП </w:t>
      </w:r>
      <w:proofErr w:type="gramStart"/>
      <w:r w:rsidRPr="0087170A">
        <w:rPr>
          <w:rFonts w:ascii="Times New Roman" w:hAnsi="Times New Roman" w:cs="Times New Roman"/>
          <w:color w:val="auto"/>
          <w:sz w:val="28"/>
          <w:szCs w:val="28"/>
        </w:rPr>
        <w:t>на конец</w:t>
      </w:r>
      <w:proofErr w:type="gramEnd"/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2016 года составляет 2,19% (2,03% годом ранее, 2,12% на конец II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квартала 2016 года).</w:t>
      </w:r>
    </w:p>
    <w:p w:rsidR="000E7ECF" w:rsidRDefault="000E7ECF" w:rsidP="000E7ECF">
      <w:pPr>
        <w:pStyle w:val="Default"/>
        <w:ind w:firstLine="709"/>
        <w:rPr>
          <w:color w:val="auto"/>
        </w:rPr>
      </w:pPr>
      <w:r>
        <w:rPr>
          <w:noProof/>
          <w:lang w:eastAsia="ru-RU"/>
        </w:rPr>
        <w:drawing>
          <wp:inline distT="0" distB="0" distL="0" distR="0" wp14:anchorId="379AE125" wp14:editId="4BBC25F4">
            <wp:extent cx="5940425" cy="3512508"/>
            <wp:effectExtent l="0" t="0" r="22225" b="120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7ECF" w:rsidRPr="00BD5A31" w:rsidRDefault="000E7ECF" w:rsidP="000E7ECF">
      <w:pPr>
        <w:pStyle w:val="a3"/>
        <w:keepNext/>
        <w:ind w:firstLine="709"/>
        <w:jc w:val="center"/>
        <w:rPr>
          <w:b w:val="0"/>
          <w:sz w:val="28"/>
          <w:szCs w:val="28"/>
        </w:rPr>
      </w:pPr>
      <w:bookmarkStart w:id="1" w:name="_Toc198187556"/>
      <w:bookmarkStart w:id="2" w:name="_Toc198187604"/>
      <w:r w:rsidRPr="00BD5A31">
        <w:rPr>
          <w:b w:val="0"/>
          <w:sz w:val="28"/>
          <w:szCs w:val="28"/>
        </w:rPr>
        <w:t xml:space="preserve">Рисунок </w:t>
      </w:r>
      <w:r>
        <w:rPr>
          <w:b w:val="0"/>
          <w:sz w:val="28"/>
          <w:szCs w:val="28"/>
        </w:rPr>
        <w:t>1</w:t>
      </w:r>
      <w:r w:rsidRPr="00BD5A31">
        <w:rPr>
          <w:b w:val="0"/>
          <w:sz w:val="28"/>
          <w:szCs w:val="28"/>
        </w:rPr>
        <w:t>. Структура инвестиций российских</w:t>
      </w:r>
      <w:r>
        <w:rPr>
          <w:b w:val="0"/>
          <w:sz w:val="28"/>
          <w:szCs w:val="28"/>
        </w:rPr>
        <w:t xml:space="preserve"> страховщиков в 2016</w:t>
      </w:r>
      <w:r w:rsidRPr="00BD5A31">
        <w:rPr>
          <w:b w:val="0"/>
          <w:sz w:val="28"/>
          <w:szCs w:val="28"/>
        </w:rPr>
        <w:t xml:space="preserve"> г.</w:t>
      </w:r>
      <w:bookmarkEnd w:id="1"/>
      <w:bookmarkEnd w:id="2"/>
    </w:p>
    <w:p w:rsidR="000E7ECF" w:rsidRPr="00AD6331" w:rsidRDefault="000E7ECF" w:rsidP="000E7ECF">
      <w:pPr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6331">
        <w:rPr>
          <w:rFonts w:ascii="Times New Roman" w:hAnsi="Times New Roman" w:cs="Times New Roman"/>
          <w:sz w:val="20"/>
          <w:szCs w:val="20"/>
          <w:lang w:eastAsia="ru-RU"/>
        </w:rPr>
        <w:t>Источник: составлено автором по данным официального сайта Банка России</w:t>
      </w:r>
    </w:p>
    <w:p w:rsidR="000E7ECF" w:rsidRPr="0087170A" w:rsidRDefault="000E7ECF" w:rsidP="000E7EC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Совокупный объем активов российских страховщиков продолжает расти: годовые темпы прироста составляют 10,5%, объем активов на конец отчетного периода - 1803,6 млрд. руб. При этом отношение активов к ВВП на 2016 года составляет 2,19% (2,03% годом ранее, 2,12% </w:t>
      </w:r>
      <w:proofErr w:type="gramStart"/>
      <w:r w:rsidRPr="0087170A">
        <w:rPr>
          <w:rFonts w:ascii="Times New Roman" w:hAnsi="Times New Roman" w:cs="Times New Roman"/>
          <w:color w:val="auto"/>
          <w:sz w:val="28"/>
          <w:szCs w:val="28"/>
        </w:rPr>
        <w:t>на конец</w:t>
      </w:r>
      <w:proofErr w:type="gramEnd"/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II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87170A">
        <w:rPr>
          <w:rFonts w:ascii="Times New Roman" w:hAnsi="Times New Roman" w:cs="Times New Roman"/>
          <w:color w:val="auto"/>
          <w:sz w:val="28"/>
          <w:szCs w:val="28"/>
        </w:rPr>
        <w:t xml:space="preserve"> квартала 2016 года). </w:t>
      </w:r>
    </w:p>
    <w:p w:rsidR="000E7ECF" w:rsidRDefault="000E7ECF" w:rsidP="000E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C5">
        <w:rPr>
          <w:rFonts w:ascii="Times New Roman" w:hAnsi="Times New Roman" w:cs="Times New Roman"/>
          <w:sz w:val="28"/>
          <w:szCs w:val="28"/>
        </w:rPr>
        <w:t>Поскольку в последние годы законодательные требования к инвестициям страховщиков активно меняются, структура инвестиций также претерпевает некоторые изменения. Для того чтобы выявить тенденции ее изменения, нео</w:t>
      </w:r>
      <w:r w:rsidRPr="004606C5">
        <w:rPr>
          <w:rFonts w:ascii="Times New Roman" w:hAnsi="Times New Roman" w:cs="Times New Roman"/>
          <w:sz w:val="28"/>
          <w:szCs w:val="28"/>
        </w:rPr>
        <w:t>б</w:t>
      </w:r>
      <w:r w:rsidRPr="004606C5">
        <w:rPr>
          <w:rFonts w:ascii="Times New Roman" w:hAnsi="Times New Roman" w:cs="Times New Roman"/>
          <w:sz w:val="28"/>
          <w:szCs w:val="28"/>
        </w:rPr>
        <w:t xml:space="preserve">ходимо рассмотреть динамику изменения структуры инвестиций за последнее время. </w:t>
      </w:r>
    </w:p>
    <w:p w:rsidR="000E7ECF" w:rsidRDefault="000E7ECF" w:rsidP="000E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CF" w:rsidRDefault="000E7ECF" w:rsidP="000E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CF" w:rsidRPr="004606C5" w:rsidRDefault="000E7ECF" w:rsidP="000E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CF" w:rsidRPr="007F4299" w:rsidRDefault="000E7ECF" w:rsidP="000E7ECF">
      <w:pPr>
        <w:pStyle w:val="a3"/>
        <w:keepNext/>
        <w:spacing w:after="0" w:line="360" w:lineRule="auto"/>
        <w:ind w:firstLine="709"/>
        <w:jc w:val="center"/>
        <w:rPr>
          <w:b w:val="0"/>
          <w:sz w:val="28"/>
          <w:szCs w:val="28"/>
        </w:rPr>
      </w:pPr>
      <w:bookmarkStart w:id="3" w:name="_Ref197067048"/>
      <w:bookmarkStart w:id="4" w:name="_Toc198187570"/>
      <w:bookmarkStart w:id="5" w:name="_Toc198187618"/>
      <w:r w:rsidRPr="007F4299">
        <w:rPr>
          <w:b w:val="0"/>
          <w:sz w:val="28"/>
          <w:szCs w:val="28"/>
        </w:rPr>
        <w:lastRenderedPageBreak/>
        <w:t xml:space="preserve">Таблица </w:t>
      </w:r>
      <w:bookmarkEnd w:id="3"/>
      <w:r>
        <w:rPr>
          <w:b w:val="0"/>
          <w:sz w:val="28"/>
          <w:szCs w:val="28"/>
        </w:rPr>
        <w:t>1</w:t>
      </w:r>
      <w:r w:rsidRPr="007F4299">
        <w:rPr>
          <w:b w:val="0"/>
          <w:sz w:val="28"/>
          <w:szCs w:val="28"/>
        </w:rPr>
        <w:t>. Динамика средней структуры инвестиций ст</w:t>
      </w:r>
      <w:r>
        <w:rPr>
          <w:b w:val="0"/>
          <w:sz w:val="28"/>
          <w:szCs w:val="28"/>
        </w:rPr>
        <w:t>раховых компаний в России в 2013</w:t>
      </w:r>
      <w:r w:rsidRPr="007F4299">
        <w:rPr>
          <w:b w:val="0"/>
          <w:sz w:val="28"/>
          <w:szCs w:val="28"/>
        </w:rPr>
        <w:t>-2016 гг., %</w:t>
      </w:r>
      <w:bookmarkEnd w:id="4"/>
      <w:bookmarkEnd w:id="5"/>
    </w:p>
    <w:tbl>
      <w:tblPr>
        <w:tblW w:w="93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445"/>
        <w:gridCol w:w="1233"/>
        <w:gridCol w:w="1233"/>
        <w:gridCol w:w="1233"/>
        <w:gridCol w:w="1234"/>
      </w:tblGrid>
      <w:tr w:rsidR="000E7ECF" w:rsidRPr="004606C5" w:rsidTr="00D02942">
        <w:trPr>
          <w:trHeight w:val="255"/>
        </w:trPr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1960A9" w:rsidRDefault="000E7ECF" w:rsidP="000E7E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Инструмент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CF" w:rsidRPr="001960A9" w:rsidRDefault="000E7ECF" w:rsidP="000E7E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Доля в инвестициях, %</w:t>
            </w:r>
          </w:p>
        </w:tc>
      </w:tr>
      <w:tr w:rsidR="000E7ECF" w:rsidRPr="004606C5" w:rsidTr="00D02942">
        <w:trPr>
          <w:trHeight w:val="255"/>
        </w:trPr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CF" w:rsidRPr="001960A9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7ECF" w:rsidRPr="001960A9" w:rsidRDefault="000E7ECF" w:rsidP="000E7E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на 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31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12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.2013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7ECF" w:rsidRPr="001960A9" w:rsidRDefault="000E7ECF" w:rsidP="000E7E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на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 3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1.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12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.2014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7ECF" w:rsidRPr="001960A9" w:rsidRDefault="000E7ECF" w:rsidP="000E7E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на 31.12.2015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7ECF" w:rsidRPr="001960A9" w:rsidRDefault="000E7ECF" w:rsidP="000E7E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960A9">
              <w:rPr>
                <w:rFonts w:ascii="Times New Roman" w:hAnsi="Times New Roman" w:cs="Times New Roman"/>
                <w:bCs/>
                <w:sz w:val="24"/>
                <w:szCs w:val="20"/>
              </w:rPr>
              <w:t>на 31.12.2016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vertAlign w:val="superscript"/>
              </w:rPr>
              <w:fldChar w:fldCharType="begin"/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vertAlign w:val="superscript"/>
              </w:rPr>
              <w:instrText xml:space="preserve"> NOTEREF _Ref197797851 \h  \* MERGEFORMAT </w:instrTex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vertAlign w:val="superscript"/>
              </w:rPr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Ошибка! З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кладка не опр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делена.</w:t>
            </w:r>
            <w:r w:rsidRPr="001960A9">
              <w:rPr>
                <w:rFonts w:ascii="Times New Roman" w:hAnsi="Times New Roman" w:cs="Times New Roman"/>
                <w:bCs/>
                <w:sz w:val="24"/>
                <w:szCs w:val="20"/>
                <w:vertAlign w:val="superscript"/>
              </w:rPr>
              <w:fldChar w:fldCharType="end"/>
            </w:r>
          </w:p>
        </w:tc>
      </w:tr>
      <w:tr w:rsidR="000E7ECF" w:rsidRPr="004606C5" w:rsidTr="00D02942">
        <w:trPr>
          <w:trHeight w:val="31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E7ECF" w:rsidRPr="004606C5" w:rsidTr="00D02942">
        <w:trPr>
          <w:trHeight w:val="31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7ECF" w:rsidRPr="004606C5" w:rsidTr="00D02942">
        <w:trPr>
          <w:trHeight w:val="31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Облигации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ECF" w:rsidRPr="004606C5" w:rsidTr="00D02942">
        <w:trPr>
          <w:trHeight w:val="50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Доля перестраховщиков в страховых р</w:t>
            </w: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зервах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7ECF" w:rsidRPr="004606C5" w:rsidTr="00D02942">
        <w:trPr>
          <w:trHeight w:val="3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7ECF" w:rsidRPr="004606C5" w:rsidTr="00D02942">
        <w:trPr>
          <w:trHeight w:val="3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ECF" w:rsidRPr="004606C5" w:rsidTr="00D02942">
        <w:trPr>
          <w:trHeight w:val="35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ГиМЦБ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ECF" w:rsidRPr="004606C5" w:rsidTr="00D02942">
        <w:trPr>
          <w:trHeight w:val="35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CF" w:rsidRPr="004606C5" w:rsidTr="00D02942">
        <w:trPr>
          <w:trHeight w:val="35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Прочие активы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CF" w:rsidRPr="007269AF" w:rsidRDefault="000E7ECF" w:rsidP="000E7E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E7ECF" w:rsidRPr="00AD6331" w:rsidRDefault="000E7ECF" w:rsidP="000E7ECF">
      <w:pPr>
        <w:spacing w:before="120" w:after="0" w:line="3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331"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AD6331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составлено автором по данным </w:t>
      </w:r>
      <w:r w:rsidRPr="00AD6331">
        <w:rPr>
          <w:rFonts w:ascii="Times New Roman" w:hAnsi="Times New Roman" w:cs="Times New Roman"/>
          <w:sz w:val="20"/>
          <w:szCs w:val="20"/>
        </w:rPr>
        <w:t xml:space="preserve"> официального сайта Банка России</w:t>
      </w:r>
    </w:p>
    <w:p w:rsidR="000E7ECF" w:rsidRPr="004606C5" w:rsidRDefault="000E7ECF" w:rsidP="000E7ECF">
      <w:pPr>
        <w:spacing w:before="12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C5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6C5">
        <w:rPr>
          <w:rFonts w:ascii="Times New Roman" w:hAnsi="Times New Roman" w:cs="Times New Roman"/>
          <w:sz w:val="28"/>
          <w:szCs w:val="28"/>
        </w:rPr>
        <w:t xml:space="preserve"> приведены средние по рынку доли отдельных инвестицио</w:t>
      </w:r>
      <w:r w:rsidRPr="004606C5">
        <w:rPr>
          <w:rFonts w:ascii="Times New Roman" w:hAnsi="Times New Roman" w:cs="Times New Roman"/>
          <w:sz w:val="28"/>
          <w:szCs w:val="28"/>
        </w:rPr>
        <w:t>н</w:t>
      </w:r>
      <w:r w:rsidRPr="004606C5">
        <w:rPr>
          <w:rFonts w:ascii="Times New Roman" w:hAnsi="Times New Roman" w:cs="Times New Roman"/>
          <w:sz w:val="28"/>
          <w:szCs w:val="28"/>
        </w:rPr>
        <w:t xml:space="preserve">ных инструментов </w:t>
      </w:r>
      <w:r>
        <w:rPr>
          <w:rFonts w:ascii="Times New Roman" w:hAnsi="Times New Roman" w:cs="Times New Roman"/>
          <w:sz w:val="28"/>
          <w:szCs w:val="28"/>
        </w:rPr>
        <w:t>в совокупных инвестициях за 2013-2016</w:t>
      </w:r>
      <w:r w:rsidRPr="004606C5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0E7ECF" w:rsidRPr="000A2D03" w:rsidRDefault="000E7ECF" w:rsidP="000E7EC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C5">
        <w:rPr>
          <w:rFonts w:ascii="Times New Roman" w:hAnsi="Times New Roman" w:cs="Times New Roman"/>
          <w:sz w:val="28"/>
          <w:szCs w:val="28"/>
        </w:rPr>
        <w:t xml:space="preserve">На основе данных таблицы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6C5">
        <w:rPr>
          <w:rFonts w:ascii="Times New Roman" w:hAnsi="Times New Roman" w:cs="Times New Roman"/>
          <w:sz w:val="28"/>
          <w:szCs w:val="28"/>
        </w:rPr>
        <w:t xml:space="preserve"> была подготовлена диаграмма, наглядно о</w:t>
      </w:r>
      <w:r w:rsidRPr="004606C5">
        <w:rPr>
          <w:rFonts w:ascii="Times New Roman" w:hAnsi="Times New Roman" w:cs="Times New Roman"/>
          <w:sz w:val="28"/>
          <w:szCs w:val="28"/>
        </w:rPr>
        <w:t>т</w:t>
      </w:r>
      <w:r w:rsidRPr="004606C5">
        <w:rPr>
          <w:rFonts w:ascii="Times New Roman" w:hAnsi="Times New Roman" w:cs="Times New Roman"/>
          <w:sz w:val="28"/>
          <w:szCs w:val="28"/>
        </w:rPr>
        <w:t>ражающая динамику изменения доли каждого инвестиционного инструмента 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606C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606C5">
        <w:rPr>
          <w:rFonts w:ascii="Times New Roman" w:hAnsi="Times New Roman" w:cs="Times New Roman"/>
          <w:sz w:val="28"/>
          <w:szCs w:val="28"/>
        </w:rPr>
        <w:t xml:space="preserve"> гг. (рис.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6C5">
        <w:rPr>
          <w:rFonts w:ascii="Times New Roman" w:hAnsi="Times New Roman" w:cs="Times New Roman"/>
          <w:sz w:val="28"/>
          <w:szCs w:val="28"/>
        </w:rPr>
        <w:t xml:space="preserve">). </w:t>
      </w:r>
      <w:r w:rsidRPr="000A2D03">
        <w:rPr>
          <w:rFonts w:ascii="Times New Roman" w:hAnsi="Times New Roman" w:cs="Times New Roman"/>
          <w:sz w:val="28"/>
          <w:szCs w:val="28"/>
        </w:rPr>
        <w:t>По рисунку видно, что наиболее значительные изменения произошли со структурой инвестиций в 2015 году. Так, доля долговых ценных бумаг других организаций и предоставленных им займов, а также доля банко</w:t>
      </w:r>
      <w:r w:rsidRPr="000A2D03">
        <w:rPr>
          <w:rFonts w:ascii="Times New Roman" w:hAnsi="Times New Roman" w:cs="Times New Roman"/>
          <w:sz w:val="28"/>
          <w:szCs w:val="28"/>
        </w:rPr>
        <w:t>в</w:t>
      </w:r>
      <w:r w:rsidRPr="000A2D03">
        <w:rPr>
          <w:rFonts w:ascii="Times New Roman" w:hAnsi="Times New Roman" w:cs="Times New Roman"/>
          <w:sz w:val="28"/>
          <w:szCs w:val="28"/>
        </w:rPr>
        <w:t xml:space="preserve">ских вкладов </w:t>
      </w:r>
      <w:proofErr w:type="gramStart"/>
      <w:r w:rsidRPr="000A2D0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A2D03">
        <w:rPr>
          <w:rFonts w:ascii="Times New Roman" w:hAnsi="Times New Roman" w:cs="Times New Roman"/>
          <w:sz w:val="28"/>
          <w:szCs w:val="28"/>
        </w:rPr>
        <w:t xml:space="preserve"> 2015 года увеличилась по сравнению с концом 2014 г</w:t>
      </w:r>
      <w:r w:rsidRPr="000A2D03">
        <w:rPr>
          <w:rFonts w:ascii="Times New Roman" w:hAnsi="Times New Roman" w:cs="Times New Roman"/>
          <w:sz w:val="28"/>
          <w:szCs w:val="28"/>
        </w:rPr>
        <w:t>о</w:t>
      </w:r>
      <w:r w:rsidRPr="000A2D03">
        <w:rPr>
          <w:rFonts w:ascii="Times New Roman" w:hAnsi="Times New Roman" w:cs="Times New Roman"/>
          <w:sz w:val="28"/>
          <w:szCs w:val="28"/>
        </w:rPr>
        <w:t>да.</w:t>
      </w:r>
    </w:p>
    <w:p w:rsidR="000E7ECF" w:rsidRDefault="000E7ECF" w:rsidP="000E7EC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03">
        <w:rPr>
          <w:rFonts w:ascii="Times New Roman" w:hAnsi="Times New Roman" w:cs="Times New Roman"/>
          <w:sz w:val="28"/>
          <w:szCs w:val="28"/>
        </w:rPr>
        <w:t>По мнению экспертов, рост доли банковских вкладов во многом был об</w:t>
      </w:r>
      <w:r w:rsidRPr="000A2D03">
        <w:rPr>
          <w:rFonts w:ascii="Times New Roman" w:hAnsi="Times New Roman" w:cs="Times New Roman"/>
          <w:sz w:val="28"/>
          <w:szCs w:val="28"/>
        </w:rPr>
        <w:t>у</w:t>
      </w:r>
      <w:r w:rsidRPr="000A2D03">
        <w:rPr>
          <w:rFonts w:ascii="Times New Roman" w:hAnsi="Times New Roman" w:cs="Times New Roman"/>
          <w:sz w:val="28"/>
          <w:szCs w:val="28"/>
        </w:rPr>
        <w:t>словлен растущим в последнее время сотрудничеством страховщиков и банков, связанным с развитием ипотеки, автокредитования и потребительского кред</w:t>
      </w:r>
      <w:r w:rsidRPr="000A2D03">
        <w:rPr>
          <w:rFonts w:ascii="Times New Roman" w:hAnsi="Times New Roman" w:cs="Times New Roman"/>
          <w:sz w:val="28"/>
          <w:szCs w:val="28"/>
        </w:rPr>
        <w:t>и</w:t>
      </w:r>
      <w:r w:rsidRPr="000A2D03">
        <w:rPr>
          <w:rFonts w:ascii="Times New Roman" w:hAnsi="Times New Roman" w:cs="Times New Roman"/>
          <w:sz w:val="28"/>
          <w:szCs w:val="28"/>
        </w:rPr>
        <w:t xml:space="preserve">тования. </w:t>
      </w:r>
    </w:p>
    <w:p w:rsidR="000E7ECF" w:rsidRDefault="000E7ECF" w:rsidP="000E7EC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4F">
        <w:rPr>
          <w:rFonts w:ascii="Times New Roman" w:hAnsi="Times New Roman" w:cs="Times New Roman"/>
          <w:sz w:val="28"/>
          <w:szCs w:val="28"/>
        </w:rPr>
        <w:t>Максимальная доля в структуре активов страховщиков традиционно пр</w:t>
      </w:r>
      <w:r w:rsidRPr="00E11E4F">
        <w:rPr>
          <w:rFonts w:ascii="Times New Roman" w:hAnsi="Times New Roman" w:cs="Times New Roman"/>
          <w:sz w:val="28"/>
          <w:szCs w:val="28"/>
        </w:rPr>
        <w:t>и</w:t>
      </w:r>
      <w:r w:rsidRPr="00E11E4F">
        <w:rPr>
          <w:rFonts w:ascii="Times New Roman" w:hAnsi="Times New Roman" w:cs="Times New Roman"/>
          <w:sz w:val="28"/>
          <w:szCs w:val="28"/>
        </w:rPr>
        <w:t xml:space="preserve">ходится на банковские вклады (24,7% </w:t>
      </w:r>
      <w:proofErr w:type="gramStart"/>
      <w:r w:rsidRPr="00E11E4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11E4F">
        <w:rPr>
          <w:rFonts w:ascii="Times New Roman" w:hAnsi="Times New Roman" w:cs="Times New Roman"/>
          <w:sz w:val="28"/>
          <w:szCs w:val="28"/>
        </w:rPr>
        <w:t xml:space="preserve"> 2015 года, 18,3% годом ранее) и дебиторскую задолженность </w:t>
      </w:r>
      <w:r>
        <w:rPr>
          <w:rFonts w:ascii="Times New Roman" w:hAnsi="Times New Roman" w:cs="Times New Roman"/>
          <w:sz w:val="28"/>
          <w:szCs w:val="28"/>
        </w:rPr>
        <w:t>(19,0% и 18,9%, соответственно).</w:t>
      </w:r>
    </w:p>
    <w:p w:rsidR="000E7ECF" w:rsidRPr="000A2D03" w:rsidRDefault="000E7ECF" w:rsidP="000E7EC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4F">
        <w:rPr>
          <w:rFonts w:ascii="Times New Roman" w:hAnsi="Times New Roman" w:cs="Times New Roman"/>
          <w:sz w:val="28"/>
          <w:szCs w:val="28"/>
        </w:rPr>
        <w:lastRenderedPageBreak/>
        <w:t>Это связано с необходимостью иметь ликвидные средства для выполн</w:t>
      </w:r>
      <w:r w:rsidRPr="00E11E4F">
        <w:rPr>
          <w:rFonts w:ascii="Times New Roman" w:hAnsi="Times New Roman" w:cs="Times New Roman"/>
          <w:sz w:val="28"/>
          <w:szCs w:val="28"/>
        </w:rPr>
        <w:t>е</w:t>
      </w:r>
      <w:r w:rsidRPr="00E11E4F">
        <w:rPr>
          <w:rFonts w:ascii="Times New Roman" w:hAnsi="Times New Roman" w:cs="Times New Roman"/>
          <w:sz w:val="28"/>
          <w:szCs w:val="28"/>
        </w:rPr>
        <w:t>ния своих обязательств и характером страховой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ECF" w:rsidRPr="00C41552" w:rsidRDefault="000E7ECF" w:rsidP="000E7ECF">
      <w:pPr>
        <w:spacing w:line="36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C08CF7F" wp14:editId="490CE40C">
            <wp:extent cx="5940425" cy="3592826"/>
            <wp:effectExtent l="0" t="0" r="22225" b="273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7ECF" w:rsidRDefault="000E7ECF" w:rsidP="000E7ECF">
      <w:pPr>
        <w:pStyle w:val="a3"/>
        <w:keepNext/>
        <w:ind w:firstLine="709"/>
        <w:jc w:val="center"/>
        <w:rPr>
          <w:b w:val="0"/>
          <w:sz w:val="28"/>
          <w:szCs w:val="28"/>
        </w:rPr>
      </w:pPr>
      <w:bookmarkStart w:id="6" w:name="_Ref196680224"/>
      <w:bookmarkStart w:id="7" w:name="_Toc198187557"/>
      <w:bookmarkStart w:id="8" w:name="_Toc198187605"/>
      <w:r w:rsidRPr="007F4299">
        <w:rPr>
          <w:b w:val="0"/>
          <w:sz w:val="28"/>
          <w:szCs w:val="28"/>
        </w:rPr>
        <w:t>Рисунок</w:t>
      </w:r>
      <w:r>
        <w:rPr>
          <w:b w:val="0"/>
          <w:sz w:val="28"/>
          <w:szCs w:val="28"/>
        </w:rPr>
        <w:t xml:space="preserve"> </w:t>
      </w:r>
      <w:bookmarkEnd w:id="6"/>
      <w:r>
        <w:rPr>
          <w:b w:val="0"/>
          <w:sz w:val="28"/>
          <w:szCs w:val="28"/>
        </w:rPr>
        <w:t>2</w:t>
      </w:r>
      <w:r w:rsidRPr="007F4299">
        <w:rPr>
          <w:b w:val="0"/>
          <w:sz w:val="28"/>
          <w:szCs w:val="28"/>
        </w:rPr>
        <w:t>. Динамика доли отдельных инструментов в инвестиция</w:t>
      </w:r>
      <w:r>
        <w:rPr>
          <w:b w:val="0"/>
          <w:sz w:val="28"/>
          <w:szCs w:val="28"/>
        </w:rPr>
        <w:t>х российских страховщиков в 20</w:t>
      </w:r>
      <w:r w:rsidRPr="00AB3C57">
        <w:rPr>
          <w:b w:val="0"/>
          <w:sz w:val="28"/>
          <w:szCs w:val="28"/>
        </w:rPr>
        <w:t>13</w:t>
      </w:r>
      <w:r w:rsidRPr="007F4299">
        <w:rPr>
          <w:b w:val="0"/>
          <w:sz w:val="28"/>
          <w:szCs w:val="28"/>
        </w:rPr>
        <w:t>-20</w:t>
      </w:r>
      <w:r w:rsidRPr="00AB3C57">
        <w:rPr>
          <w:b w:val="0"/>
          <w:sz w:val="28"/>
          <w:szCs w:val="28"/>
        </w:rPr>
        <w:t>16</w:t>
      </w:r>
      <w:r w:rsidRPr="007F4299">
        <w:rPr>
          <w:b w:val="0"/>
          <w:sz w:val="28"/>
          <w:szCs w:val="28"/>
        </w:rPr>
        <w:t xml:space="preserve"> гг.</w:t>
      </w:r>
      <w:bookmarkEnd w:id="7"/>
      <w:bookmarkEnd w:id="8"/>
    </w:p>
    <w:p w:rsidR="000E7ECF" w:rsidRPr="00AD6331" w:rsidRDefault="000E7ECF" w:rsidP="000E7ECF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6331">
        <w:rPr>
          <w:rFonts w:ascii="Times New Roman" w:hAnsi="Times New Roman" w:cs="Times New Roman"/>
          <w:sz w:val="20"/>
          <w:szCs w:val="20"/>
          <w:lang w:eastAsia="ru-RU"/>
        </w:rPr>
        <w:t>Исто</w:t>
      </w:r>
      <w:r>
        <w:rPr>
          <w:rFonts w:ascii="Times New Roman" w:hAnsi="Times New Roman" w:cs="Times New Roman"/>
          <w:sz w:val="20"/>
          <w:szCs w:val="20"/>
          <w:lang w:eastAsia="ru-RU"/>
        </w:rPr>
        <w:t>чник: На основе данных таблицы 1</w:t>
      </w:r>
    </w:p>
    <w:p w:rsidR="000E7ECF" w:rsidRPr="0054441E" w:rsidRDefault="000E7ECF" w:rsidP="000E7EC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A69BC">
        <w:rPr>
          <w:rFonts w:ascii="Times New Roman" w:hAnsi="Times New Roman" w:cs="Times New Roman"/>
          <w:sz w:val="28"/>
          <w:szCs w:val="28"/>
        </w:rPr>
        <w:t>оловина д</w:t>
      </w:r>
      <w:r>
        <w:rPr>
          <w:rFonts w:ascii="Times New Roman" w:hAnsi="Times New Roman" w:cs="Times New Roman"/>
          <w:sz w:val="28"/>
          <w:szCs w:val="28"/>
        </w:rPr>
        <w:t>ебиторской задолженности прихо</w:t>
      </w:r>
      <w:r w:rsidRPr="00AA69BC">
        <w:rPr>
          <w:rFonts w:ascii="Times New Roman" w:hAnsi="Times New Roman" w:cs="Times New Roman"/>
          <w:sz w:val="28"/>
          <w:szCs w:val="28"/>
        </w:rPr>
        <w:t>дится на задо</w:t>
      </w:r>
      <w:r>
        <w:rPr>
          <w:rFonts w:ascii="Times New Roman" w:hAnsi="Times New Roman" w:cs="Times New Roman"/>
          <w:sz w:val="28"/>
          <w:szCs w:val="28"/>
        </w:rPr>
        <w:t>лженность, связанную с операци</w:t>
      </w:r>
      <w:r w:rsidRPr="00AA69BC">
        <w:rPr>
          <w:rFonts w:ascii="Times New Roman" w:hAnsi="Times New Roman" w:cs="Times New Roman"/>
          <w:sz w:val="28"/>
          <w:szCs w:val="28"/>
        </w:rPr>
        <w:t>ями страхова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перестрахо</w:t>
      </w:r>
      <w:r w:rsidRPr="00AA69BC">
        <w:rPr>
          <w:rFonts w:ascii="Times New Roman" w:hAnsi="Times New Roman" w:cs="Times New Roman"/>
          <w:sz w:val="28"/>
          <w:szCs w:val="28"/>
        </w:rPr>
        <w:t>вания, и зад</w:t>
      </w:r>
      <w:r>
        <w:rPr>
          <w:rFonts w:ascii="Times New Roman" w:hAnsi="Times New Roman" w:cs="Times New Roman"/>
          <w:sz w:val="28"/>
          <w:szCs w:val="28"/>
        </w:rPr>
        <w:t>олженность страховщиков по пря</w:t>
      </w:r>
      <w:r w:rsidRPr="00AA69BC">
        <w:rPr>
          <w:rFonts w:ascii="Times New Roman" w:hAnsi="Times New Roman" w:cs="Times New Roman"/>
          <w:sz w:val="28"/>
          <w:szCs w:val="28"/>
        </w:rPr>
        <w:t>мому возме</w:t>
      </w:r>
      <w:r>
        <w:rPr>
          <w:rFonts w:ascii="Times New Roman" w:hAnsi="Times New Roman" w:cs="Times New Roman"/>
          <w:sz w:val="28"/>
          <w:szCs w:val="28"/>
        </w:rPr>
        <w:t>щению убытков. При этом вл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AA69BC">
        <w:rPr>
          <w:rFonts w:ascii="Times New Roman" w:hAnsi="Times New Roman" w:cs="Times New Roman"/>
          <w:sz w:val="28"/>
          <w:szCs w:val="28"/>
        </w:rPr>
        <w:t xml:space="preserve">ния в банковские депозиты показали по итогам 2015 года наибольший рост </w:t>
      </w:r>
      <w:r>
        <w:rPr>
          <w:rFonts w:ascii="Times New Roman" w:hAnsi="Times New Roman" w:cs="Times New Roman"/>
          <w:sz w:val="28"/>
          <w:szCs w:val="28"/>
        </w:rPr>
        <w:t>(41,8%), что яви</w:t>
      </w:r>
      <w:r w:rsidRPr="00AA69BC">
        <w:rPr>
          <w:rFonts w:ascii="Times New Roman" w:hAnsi="Times New Roman" w:cs="Times New Roman"/>
          <w:sz w:val="28"/>
          <w:szCs w:val="28"/>
        </w:rPr>
        <w:t>лось следствием высоких процентных ставок по этим инс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ментам. На депозиты, номини</w:t>
      </w:r>
      <w:r w:rsidRPr="00AA69BC">
        <w:rPr>
          <w:rFonts w:ascii="Times New Roman" w:hAnsi="Times New Roman" w:cs="Times New Roman"/>
          <w:sz w:val="28"/>
          <w:szCs w:val="28"/>
        </w:rPr>
        <w:t xml:space="preserve">рованные в российских рублях, приходится 79,3%, номинированные в долларах США – 17,8%. </w:t>
      </w:r>
    </w:p>
    <w:p w:rsidR="00825B71" w:rsidRDefault="000E7ECF" w:rsidP="000E7ECF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18B0">
        <w:rPr>
          <w:rFonts w:ascii="Times New Roman" w:hAnsi="Times New Roman" w:cs="Times New Roman"/>
          <w:sz w:val="28"/>
          <w:szCs w:val="28"/>
        </w:rPr>
        <w:t>о причине слабой финансовой устойчивости страховые компании им</w:t>
      </w:r>
      <w:r w:rsidRPr="00BC18B0">
        <w:rPr>
          <w:rFonts w:ascii="Times New Roman" w:hAnsi="Times New Roman" w:cs="Times New Roman"/>
          <w:sz w:val="28"/>
          <w:szCs w:val="28"/>
        </w:rPr>
        <w:t>е</w:t>
      </w:r>
      <w:r w:rsidRPr="00BC18B0">
        <w:rPr>
          <w:rFonts w:ascii="Times New Roman" w:hAnsi="Times New Roman" w:cs="Times New Roman"/>
          <w:sz w:val="28"/>
          <w:szCs w:val="28"/>
        </w:rPr>
        <w:t xml:space="preserve">ют низкий </w:t>
      </w:r>
      <w:proofErr w:type="gramStart"/>
      <w:r w:rsidRPr="00BC18B0">
        <w:rPr>
          <w:rFonts w:ascii="Times New Roman" w:hAnsi="Times New Roman" w:cs="Times New Roman"/>
          <w:sz w:val="28"/>
          <w:szCs w:val="28"/>
        </w:rPr>
        <w:t>аппетит к рискам</w:t>
      </w:r>
      <w:proofErr w:type="gramEnd"/>
      <w:r w:rsidRPr="00BC18B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предпочитают выбирать в качестве объектов вложений банковские инструменты, зачастую аффилированных кредитных учреждений. Несмотря на значительную ликви</w:t>
      </w:r>
      <w:r w:rsidRPr="00BC18B0">
        <w:rPr>
          <w:rFonts w:ascii="Times New Roman" w:hAnsi="Times New Roman" w:cs="Times New Roman"/>
          <w:sz w:val="28"/>
          <w:szCs w:val="28"/>
        </w:rPr>
        <w:t>д</w:t>
      </w:r>
      <w:r w:rsidRPr="00BC18B0">
        <w:rPr>
          <w:rFonts w:ascii="Times New Roman" w:hAnsi="Times New Roman" w:cs="Times New Roman"/>
          <w:sz w:val="28"/>
          <w:szCs w:val="28"/>
        </w:rPr>
        <w:t>ность банковских вложений, компании, выбирая политику инвестирования и</w:t>
      </w:r>
      <w:r w:rsidRPr="00BC18B0">
        <w:rPr>
          <w:rFonts w:ascii="Times New Roman" w:hAnsi="Times New Roman" w:cs="Times New Roman"/>
          <w:sz w:val="28"/>
          <w:szCs w:val="28"/>
        </w:rPr>
        <w:t>с</w:t>
      </w:r>
      <w:r w:rsidRPr="00BC18B0">
        <w:rPr>
          <w:rFonts w:ascii="Times New Roman" w:hAnsi="Times New Roman" w:cs="Times New Roman"/>
          <w:sz w:val="28"/>
          <w:szCs w:val="28"/>
        </w:rPr>
        <w:t xml:space="preserve">ключительно в банковский сектор, сталкиваются </w:t>
      </w:r>
      <w:r w:rsidRPr="00BC18B0">
        <w:rPr>
          <w:rFonts w:ascii="Times New Roman" w:hAnsi="Times New Roman" w:cs="Times New Roman"/>
          <w:sz w:val="28"/>
          <w:szCs w:val="28"/>
        </w:rPr>
        <w:lastRenderedPageBreak/>
        <w:t>со значительным риском ко</w:t>
      </w:r>
      <w:r w:rsidRPr="00BC18B0">
        <w:rPr>
          <w:rFonts w:ascii="Times New Roman" w:hAnsi="Times New Roman" w:cs="Times New Roman"/>
          <w:sz w:val="28"/>
          <w:szCs w:val="28"/>
        </w:rPr>
        <w:t>н</w:t>
      </w:r>
      <w:r w:rsidRPr="00BC18B0">
        <w:rPr>
          <w:rFonts w:ascii="Times New Roman" w:hAnsi="Times New Roman" w:cs="Times New Roman"/>
          <w:sz w:val="28"/>
          <w:szCs w:val="28"/>
        </w:rPr>
        <w:t>центрации, связанным с отсутствием диверсификации вложений и высокой д</w:t>
      </w:r>
      <w:r w:rsidRPr="00BC18B0">
        <w:rPr>
          <w:rFonts w:ascii="Times New Roman" w:hAnsi="Times New Roman" w:cs="Times New Roman"/>
          <w:sz w:val="28"/>
          <w:szCs w:val="28"/>
        </w:rPr>
        <w:t>о</w:t>
      </w:r>
      <w:r w:rsidRPr="00BC18B0">
        <w:rPr>
          <w:rFonts w:ascii="Times New Roman" w:hAnsi="Times New Roman" w:cs="Times New Roman"/>
          <w:sz w:val="28"/>
          <w:szCs w:val="28"/>
        </w:rPr>
        <w:t>ли эмитентов одного сектора в инвестиционном портфеле. Особенно явно да</w:t>
      </w:r>
      <w:r w:rsidRPr="00BC18B0">
        <w:rPr>
          <w:rFonts w:ascii="Times New Roman" w:hAnsi="Times New Roman" w:cs="Times New Roman"/>
          <w:sz w:val="28"/>
          <w:szCs w:val="28"/>
        </w:rPr>
        <w:t>н</w:t>
      </w:r>
      <w:r w:rsidRPr="00BC18B0">
        <w:rPr>
          <w:rFonts w:ascii="Times New Roman" w:hAnsi="Times New Roman" w:cs="Times New Roman"/>
          <w:sz w:val="28"/>
          <w:szCs w:val="28"/>
        </w:rPr>
        <w:t>ный риск проявляется на фоне актуальной санации банковского сектора, пров</w:t>
      </w:r>
      <w:r w:rsidRPr="00BC18B0">
        <w:rPr>
          <w:rFonts w:ascii="Times New Roman" w:hAnsi="Times New Roman" w:cs="Times New Roman"/>
          <w:sz w:val="28"/>
          <w:szCs w:val="28"/>
        </w:rPr>
        <w:t>о</w:t>
      </w:r>
      <w:r w:rsidRPr="00BC18B0">
        <w:rPr>
          <w:rFonts w:ascii="Times New Roman" w:hAnsi="Times New Roman" w:cs="Times New Roman"/>
          <w:sz w:val="28"/>
          <w:szCs w:val="28"/>
        </w:rPr>
        <w:t>димой ЦБ РФ. Кроме этого, крайне низкая доходность данных вложений, даже не обгоняющая официальную инфляцию, не позволяет компаниям обеспечить адекватный запас капитала для поддержания платежеспособности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F"/>
    <w:rsid w:val="000E7ECF"/>
    <w:rsid w:val="008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EC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E7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EC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E7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esktop\&#1052;&#1072;&#1075;&#1080;&#1089;&#1090;&#1077;&#1088;&#1089;&#1082;&#1072;&#1103;%20&#1076;&#1080;&#1089;&#1089;&#1077;&#1088;&#1090;&#1072;&#1094;&#1080;&#1103;\&#1044;&#1048;&#1057;&#1057;&#1045;&#1056;%20&#1088;&#1072;&#1089;&#1095;&#1077;&#1090;&#1099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esktop\&#1052;&#1072;&#1075;&#1080;&#1089;&#1090;&#1077;&#1088;&#1089;&#1082;&#1072;&#1103;%20&#1076;&#1080;&#1089;&#1089;&#1077;&#1088;&#1090;&#1072;&#1094;&#1080;&#1103;\&#1044;&#1048;&#1057;&#1057;&#1045;&#1056;%20&#1088;&#1072;&#1089;&#1095;&#1077;&#1090;&#1099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238690751891319E-2"/>
          <c:y val="0.10089431229473279"/>
          <c:w val="0.56587455205870163"/>
          <c:h val="0.79821137541053444"/>
        </c:manualLayout>
      </c:layout>
      <c:pie3DChart>
        <c:varyColors val="1"/>
        <c:ser>
          <c:idx val="0"/>
          <c:order val="0"/>
          <c:explosion val="25"/>
          <c:dLbls>
            <c:dLbl>
              <c:idx val="9"/>
              <c:delete val="1"/>
            </c:dLbl>
            <c:dLbl>
              <c:idx val="10"/>
              <c:layout>
                <c:manualLayout>
                  <c:x val="1.8575851393188854E-2"/>
                  <c:y val="-3.490401396160558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Лист3!$B$1:$B$11</c:f>
              <c:strCache>
                <c:ptCount val="11"/>
                <c:pt idx="0">
                  <c:v>Банковские вклады</c:v>
                </c:pt>
                <c:pt idx="1">
                  <c:v>Дебиторская задолженность</c:v>
                </c:pt>
                <c:pt idx="2">
                  <c:v>Облигации</c:v>
                </c:pt>
                <c:pt idx="3">
                  <c:v>Доля перестраховщиков в страховых резервах</c:v>
                </c:pt>
                <c:pt idx="4">
                  <c:v>Денежные средства</c:v>
                </c:pt>
                <c:pt idx="5">
                  <c:v>Акции</c:v>
                </c:pt>
                <c:pt idx="6">
                  <c:v>ГиМЦБ</c:v>
                </c:pt>
                <c:pt idx="7">
                  <c:v>Недвижимое имущество</c:v>
                </c:pt>
                <c:pt idx="8">
                  <c:v>Инвестиционные паи ПИФов</c:v>
                </c:pt>
                <c:pt idx="9">
                  <c:v>Векселя</c:v>
                </c:pt>
                <c:pt idx="10">
                  <c:v>Прочие активы</c:v>
                </c:pt>
              </c:strCache>
            </c:strRef>
          </c:cat>
          <c:val>
            <c:numRef>
              <c:f>Лист3!$A$1:$A$11</c:f>
              <c:numCache>
                <c:formatCode>0%</c:formatCode>
                <c:ptCount val="11"/>
                <c:pt idx="0">
                  <c:v>0.23</c:v>
                </c:pt>
                <c:pt idx="1">
                  <c:v>0.19</c:v>
                </c:pt>
                <c:pt idx="2">
                  <c:v>0.15</c:v>
                </c:pt>
                <c:pt idx="3">
                  <c:v>0.08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0.04</c:v>
                </c:pt>
                <c:pt idx="8">
                  <c:v>5.0000000000000001E-3</c:v>
                </c:pt>
                <c:pt idx="9">
                  <c:v>5.0000000000000001E-3</c:v>
                </c:pt>
                <c:pt idx="1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67131560452318"/>
          <c:y val="8.2367244322266622E-2"/>
          <c:w val="0.32500522935269255"/>
          <c:h val="0.826752964779926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280178332659824E-2"/>
          <c:y val="0.12905526924297611"/>
          <c:w val="0.93033831729506056"/>
          <c:h val="0.59340678384491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Лист3!$B$24:$B$25</c:f>
              <c:strCache>
                <c:ptCount val="1"/>
                <c:pt idx="0">
                  <c:v>Доля в инвестициях, % на 31.12.2013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Лист3!$A$26:$A$34</c:f>
              <c:strCache>
                <c:ptCount val="9"/>
                <c:pt idx="0">
                  <c:v>Банковские вклады</c:v>
                </c:pt>
                <c:pt idx="1">
                  <c:v>Дебиторская задолженность</c:v>
                </c:pt>
                <c:pt idx="2">
                  <c:v>Облигации</c:v>
                </c:pt>
                <c:pt idx="3">
                  <c:v>Доля перестраховщиков в СР</c:v>
                </c:pt>
                <c:pt idx="4">
                  <c:v>Денежные средства</c:v>
                </c:pt>
                <c:pt idx="5">
                  <c:v>Акции</c:v>
                </c:pt>
                <c:pt idx="6">
                  <c:v>ГиМЦБ</c:v>
                </c:pt>
                <c:pt idx="7">
                  <c:v>Недвижимое имущество</c:v>
                </c:pt>
                <c:pt idx="8">
                  <c:v>Прочие активы</c:v>
                </c:pt>
              </c:strCache>
            </c:strRef>
          </c:cat>
          <c:val>
            <c:numRef>
              <c:f>Лист3!$B$26:$B$34</c:f>
              <c:numCache>
                <c:formatCode>0%</c:formatCode>
                <c:ptCount val="9"/>
                <c:pt idx="0">
                  <c:v>0.19</c:v>
                </c:pt>
                <c:pt idx="1">
                  <c:v>0.2</c:v>
                </c:pt>
                <c:pt idx="2">
                  <c:v>0.12</c:v>
                </c:pt>
                <c:pt idx="3">
                  <c:v>0.08</c:v>
                </c:pt>
                <c:pt idx="4">
                  <c:v>0.08</c:v>
                </c:pt>
                <c:pt idx="5">
                  <c:v>0.09</c:v>
                </c:pt>
                <c:pt idx="6">
                  <c:v>0.08</c:v>
                </c:pt>
                <c:pt idx="7">
                  <c:v>0.05</c:v>
                </c:pt>
                <c:pt idx="8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Лист3!$C$24:$C$25</c:f>
              <c:strCache>
                <c:ptCount val="1"/>
                <c:pt idx="0">
                  <c:v>Доля в инвестициях, % на 31.12.2014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Лист3!$A$26:$A$34</c:f>
              <c:strCache>
                <c:ptCount val="9"/>
                <c:pt idx="0">
                  <c:v>Банковские вклады</c:v>
                </c:pt>
                <c:pt idx="1">
                  <c:v>Дебиторская задолженность</c:v>
                </c:pt>
                <c:pt idx="2">
                  <c:v>Облигации</c:v>
                </c:pt>
                <c:pt idx="3">
                  <c:v>Доля перестраховщиков в СР</c:v>
                </c:pt>
                <c:pt idx="4">
                  <c:v>Денежные средства</c:v>
                </c:pt>
                <c:pt idx="5">
                  <c:v>Акции</c:v>
                </c:pt>
                <c:pt idx="6">
                  <c:v>ГиМЦБ</c:v>
                </c:pt>
                <c:pt idx="7">
                  <c:v>Недвижимое имущество</c:v>
                </c:pt>
                <c:pt idx="8">
                  <c:v>Прочие активы</c:v>
                </c:pt>
              </c:strCache>
            </c:strRef>
          </c:cat>
          <c:val>
            <c:numRef>
              <c:f>Лист3!$C$26:$C$34</c:f>
              <c:numCache>
                <c:formatCode>0%</c:formatCode>
                <c:ptCount val="9"/>
                <c:pt idx="0">
                  <c:v>0.18</c:v>
                </c:pt>
                <c:pt idx="1">
                  <c:v>0.19</c:v>
                </c:pt>
                <c:pt idx="2">
                  <c:v>0.13</c:v>
                </c:pt>
                <c:pt idx="3">
                  <c:v>0.1</c:v>
                </c:pt>
                <c:pt idx="4">
                  <c:v>0.11</c:v>
                </c:pt>
                <c:pt idx="5">
                  <c:v>0.08</c:v>
                </c:pt>
                <c:pt idx="6">
                  <c:v>0.06</c:v>
                </c:pt>
                <c:pt idx="7">
                  <c:v>0.06</c:v>
                </c:pt>
                <c:pt idx="8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Лист3!$D$24:$D$25</c:f>
              <c:strCache>
                <c:ptCount val="1"/>
                <c:pt idx="0">
                  <c:v>Доля в инвестициях, % на 31.12.2015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Лист3!$A$26:$A$34</c:f>
              <c:strCache>
                <c:ptCount val="9"/>
                <c:pt idx="0">
                  <c:v>Банковские вклады</c:v>
                </c:pt>
                <c:pt idx="1">
                  <c:v>Дебиторская задолженность</c:v>
                </c:pt>
                <c:pt idx="2">
                  <c:v>Облигации</c:v>
                </c:pt>
                <c:pt idx="3">
                  <c:v>Доля перестраховщиков в СР</c:v>
                </c:pt>
                <c:pt idx="4">
                  <c:v>Денежные средства</c:v>
                </c:pt>
                <c:pt idx="5">
                  <c:v>Акции</c:v>
                </c:pt>
                <c:pt idx="6">
                  <c:v>ГиМЦБ</c:v>
                </c:pt>
                <c:pt idx="7">
                  <c:v>Недвижимое имущество</c:v>
                </c:pt>
                <c:pt idx="8">
                  <c:v>Прочие активы</c:v>
                </c:pt>
              </c:strCache>
            </c:strRef>
          </c:cat>
          <c:val>
            <c:numRef>
              <c:f>Лист3!$D$26:$D$34</c:f>
              <c:numCache>
                <c:formatCode>0%</c:formatCode>
                <c:ptCount val="9"/>
                <c:pt idx="0">
                  <c:v>0.25</c:v>
                </c:pt>
                <c:pt idx="1">
                  <c:v>0.19</c:v>
                </c:pt>
                <c:pt idx="2">
                  <c:v>0.16</c:v>
                </c:pt>
                <c:pt idx="3">
                  <c:v>0.08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0.06</c:v>
                </c:pt>
                <c:pt idx="7">
                  <c:v>0.05</c:v>
                </c:pt>
                <c:pt idx="8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Лист3!$E$24:$E$25</c:f>
              <c:strCache>
                <c:ptCount val="1"/>
                <c:pt idx="0">
                  <c:v>Доля в инвестициях, % на 31.12.2016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Лист3!$A$26:$A$34</c:f>
              <c:strCache>
                <c:ptCount val="9"/>
                <c:pt idx="0">
                  <c:v>Банковские вклады</c:v>
                </c:pt>
                <c:pt idx="1">
                  <c:v>Дебиторская задолженность</c:v>
                </c:pt>
                <c:pt idx="2">
                  <c:v>Облигации</c:v>
                </c:pt>
                <c:pt idx="3">
                  <c:v>Доля перестраховщиков в СР</c:v>
                </c:pt>
                <c:pt idx="4">
                  <c:v>Денежные средства</c:v>
                </c:pt>
                <c:pt idx="5">
                  <c:v>Акции</c:v>
                </c:pt>
                <c:pt idx="6">
                  <c:v>ГиМЦБ</c:v>
                </c:pt>
                <c:pt idx="7">
                  <c:v>Недвижимое имущество</c:v>
                </c:pt>
                <c:pt idx="8">
                  <c:v>Прочие активы</c:v>
                </c:pt>
              </c:strCache>
            </c:strRef>
          </c:cat>
          <c:val>
            <c:numRef>
              <c:f>Лист3!$E$26:$E$34</c:f>
              <c:numCache>
                <c:formatCode>0%</c:formatCode>
                <c:ptCount val="9"/>
                <c:pt idx="0">
                  <c:v>0.23</c:v>
                </c:pt>
                <c:pt idx="1">
                  <c:v>0.19</c:v>
                </c:pt>
                <c:pt idx="2">
                  <c:v>0.15</c:v>
                </c:pt>
                <c:pt idx="3">
                  <c:v>0.08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0.04</c:v>
                </c:pt>
                <c:pt idx="8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4743936"/>
        <c:axId val="134745472"/>
      </c:barChart>
      <c:catAx>
        <c:axId val="134743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745472"/>
        <c:crosses val="autoZero"/>
        <c:auto val="1"/>
        <c:lblAlgn val="ctr"/>
        <c:lblOffset val="100"/>
        <c:noMultiLvlLbl val="0"/>
      </c:catAx>
      <c:valAx>
        <c:axId val="1347454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4743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774513762702739"/>
          <c:y val="3.7122427930554994E-2"/>
          <c:w val="0.76568562013660635"/>
          <c:h val="7.237995781031349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2017-05-30T08:22:00Z</dcterms:created>
  <dcterms:modified xsi:type="dcterms:W3CDTF">2017-05-30T08:27:00Z</dcterms:modified>
</cp:coreProperties>
</file>