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FFE" w:rsidRDefault="00391FFE" w:rsidP="00391FFE">
      <w:pPr>
        <w:spacing w:line="274" w:lineRule="exact"/>
        <w:ind w:left="1175" w:hanging="2475"/>
        <w:jc w:val="center"/>
        <w:rPr>
          <w:b/>
          <w:sz w:val="24"/>
        </w:rPr>
      </w:pPr>
      <w:r>
        <w:rPr>
          <w:b/>
          <w:sz w:val="24"/>
        </w:rPr>
        <w:t xml:space="preserve">                        </w:t>
      </w:r>
      <w:r w:rsidRPr="003D59E0">
        <w:rPr>
          <w:b/>
          <w:sz w:val="24"/>
        </w:rPr>
        <w:t xml:space="preserve">ХАРАКТЕРИТИКА </w:t>
      </w:r>
      <w:r>
        <w:rPr>
          <w:b/>
          <w:sz w:val="24"/>
        </w:rPr>
        <w:t>МЕТАБОЛИЧЕСКОГО СТАТУСА</w:t>
      </w:r>
    </w:p>
    <w:p w:rsidR="00391FFE" w:rsidRDefault="00391FFE" w:rsidP="00391FFE">
      <w:pPr>
        <w:spacing w:line="274" w:lineRule="exact"/>
        <w:ind w:left="851" w:hanging="567"/>
        <w:jc w:val="center"/>
        <w:rPr>
          <w:b/>
          <w:sz w:val="24"/>
        </w:rPr>
      </w:pPr>
      <w:r w:rsidRPr="003D59E0">
        <w:rPr>
          <w:b/>
          <w:sz w:val="24"/>
        </w:rPr>
        <w:t>ПАЦИЕНТОВ С ОЖИРЕНИЕМ В ДИНАМИКЕ ЛЕЧЕНИЯ</w:t>
      </w:r>
    </w:p>
    <w:p w:rsidR="00391FFE" w:rsidRDefault="00391FFE" w:rsidP="00391FFE">
      <w:pPr>
        <w:spacing w:line="274" w:lineRule="exact"/>
        <w:ind w:left="3042"/>
        <w:rPr>
          <w:b/>
          <w:sz w:val="24"/>
        </w:rPr>
      </w:pPr>
      <w:proofErr w:type="spellStart"/>
      <w:r>
        <w:rPr>
          <w:b/>
          <w:sz w:val="24"/>
        </w:rPr>
        <w:t>Хужахметова</w:t>
      </w:r>
      <w:proofErr w:type="spellEnd"/>
      <w:r>
        <w:rPr>
          <w:b/>
          <w:sz w:val="24"/>
        </w:rPr>
        <w:t xml:space="preserve"> Ю.А., Иконникова Р.А.</w:t>
      </w:r>
    </w:p>
    <w:p w:rsidR="00391FFE" w:rsidRDefault="00391FFE" w:rsidP="00391FFE">
      <w:pPr>
        <w:pStyle w:val="a3"/>
        <w:ind w:left="415" w:right="128" w:firstLine="0"/>
        <w:jc w:val="center"/>
      </w:pPr>
      <w:r>
        <w:t>Научный руководитель: д.м.н. доцент Мякишева Ю.В., д.м.н. доцент Сазонова О.В. Самарский государственный медицинский университет</w:t>
      </w:r>
    </w:p>
    <w:p w:rsidR="00391FFE" w:rsidRDefault="00391FFE" w:rsidP="00391FFE">
      <w:pPr>
        <w:pStyle w:val="a3"/>
        <w:spacing w:before="10"/>
        <w:ind w:left="0" w:firstLine="0"/>
        <w:jc w:val="left"/>
        <w:rPr>
          <w:sz w:val="23"/>
        </w:rPr>
      </w:pPr>
    </w:p>
    <w:p w:rsidR="00391FFE" w:rsidRDefault="00391FFE" w:rsidP="00391FFE">
      <w:pPr>
        <w:pStyle w:val="a3"/>
      </w:pPr>
      <w:r w:rsidRPr="00D953AD">
        <w:t>Как известно, ожирение – это хроническое заболевание обмена веществ, проявляющееся в избыточном развитии жировой ткани, прогрессирующее при естественном течении, имеющее определенный круг осложнений и обладающее высокой вероятностью рецидива п</w:t>
      </w:r>
      <w:r>
        <w:t xml:space="preserve">осле окончания курса лечения. </w:t>
      </w:r>
    </w:p>
    <w:p w:rsidR="00391FFE" w:rsidRDefault="00391FFE" w:rsidP="00391FFE">
      <w:pPr>
        <w:pStyle w:val="a3"/>
        <w:ind w:right="111"/>
      </w:pPr>
      <w:r w:rsidRPr="00D953AD">
        <w:t>В настоящее время проблема ожирения является приоритетной для  населения большинства стран, в том числе и России. Несмотря на неуклонный рост заболеваемости, профилактика и лечение ожирения, ограничиваются, в основном, рекомендациями по изменению образа жизни. В этом плане актуальна разработка комплекса мер для диагностики, терапии и контроля эффективности лечения данной патологии.</w:t>
      </w:r>
    </w:p>
    <w:p w:rsidR="00391FFE" w:rsidRDefault="00391FFE" w:rsidP="00391FFE">
      <w:pPr>
        <w:pStyle w:val="a3"/>
        <w:ind w:right="113"/>
      </w:pPr>
      <w:r>
        <w:t>Цель: проанализировать антропометрические данные и метаболические показатели пациентов с ожирением в динамике лечения.</w:t>
      </w:r>
    </w:p>
    <w:p w:rsidR="00391FFE" w:rsidRDefault="00391FFE" w:rsidP="00391FFE">
      <w:pPr>
        <w:pStyle w:val="a3"/>
        <w:spacing w:before="66"/>
        <w:ind w:left="0" w:firstLine="0"/>
        <w:jc w:val="left"/>
      </w:pPr>
      <w:r>
        <w:t xml:space="preserve">                  Задачи:</w:t>
      </w:r>
    </w:p>
    <w:p w:rsidR="00391FFE" w:rsidRDefault="00391FFE" w:rsidP="00391FFE">
      <w:pPr>
        <w:pStyle w:val="a3"/>
        <w:ind w:left="968" w:right="187" w:firstLine="0"/>
        <w:jc w:val="left"/>
      </w:pPr>
      <w:r>
        <w:t xml:space="preserve">1.Изучить данные </w:t>
      </w:r>
      <w:proofErr w:type="spellStart"/>
      <w:r>
        <w:t>биоимпедансометрии</w:t>
      </w:r>
      <w:proofErr w:type="spellEnd"/>
      <w:r>
        <w:t xml:space="preserve"> пациентов с ожирением до и после лечения.</w:t>
      </w:r>
    </w:p>
    <w:p w:rsidR="00391FFE" w:rsidRDefault="00391FFE" w:rsidP="00391FFE">
      <w:pPr>
        <w:pStyle w:val="a3"/>
        <w:ind w:left="968" w:right="187" w:firstLine="0"/>
        <w:jc w:val="left"/>
      </w:pPr>
      <w:r>
        <w:t xml:space="preserve"> 2.Оценить параметры липидного и углеводного обменов в крови обследованных.</w:t>
      </w:r>
    </w:p>
    <w:p w:rsidR="00391FFE" w:rsidRDefault="00391FFE" w:rsidP="00391FFE">
      <w:pPr>
        <w:pStyle w:val="a3"/>
        <w:spacing w:before="1"/>
        <w:ind w:right="104"/>
      </w:pPr>
      <w:r>
        <w:t>3.Провести анализ содержания холестерина, триглицеридов, глюкозы, в ротовой жидкости, определить корреляцию их изменений с показателями крови в процессе терапии.</w:t>
      </w:r>
    </w:p>
    <w:p w:rsidR="00391FFE" w:rsidRDefault="00391FFE" w:rsidP="00391FFE">
      <w:pPr>
        <w:pStyle w:val="a3"/>
        <w:ind w:left="968" w:firstLine="0"/>
        <w:jc w:val="left"/>
      </w:pPr>
      <w:r>
        <w:t>Материалы и методы.</w:t>
      </w:r>
    </w:p>
    <w:p w:rsidR="00391FFE" w:rsidRDefault="00391FFE" w:rsidP="00391FFE">
      <w:pPr>
        <w:pStyle w:val="a3"/>
        <w:ind w:right="103"/>
      </w:pPr>
      <w:r>
        <w:t>Антропометрические показатели (</w:t>
      </w:r>
      <w:proofErr w:type="spellStart"/>
      <w:r>
        <w:t>вес</w:t>
      </w:r>
      <w:proofErr w:type="gramStart"/>
      <w:r>
        <w:t>,р</w:t>
      </w:r>
      <w:proofErr w:type="gramEnd"/>
      <w:r>
        <w:t>ост</w:t>
      </w:r>
      <w:proofErr w:type="spellEnd"/>
      <w:r>
        <w:t>, ИМТ)</w:t>
      </w:r>
      <w:bookmarkStart w:id="0" w:name="_GoBack"/>
      <w:bookmarkEnd w:id="0"/>
      <w:r>
        <w:t xml:space="preserve">,проведена </w:t>
      </w:r>
      <w:proofErr w:type="spellStart"/>
      <w:r>
        <w:t>биоимпедансометрия</w:t>
      </w:r>
      <w:proofErr w:type="spellEnd"/>
      <w:r>
        <w:t xml:space="preserve"> (</w:t>
      </w:r>
      <w:proofErr w:type="spellStart"/>
      <w:r>
        <w:t>биоимпедансметр</w:t>
      </w:r>
      <w:proofErr w:type="spellEnd"/>
      <w:r>
        <w:t xml:space="preserve"> для анализа внутренних сред организма АВС-01МЕДАСС, Россия),исследованы показатели обмена в крови и в ротовой жидкости (фотометр фотоэлектрический КФК-3, Россия, с использованием диагностических наборов</w:t>
      </w:r>
    </w:p>
    <w:p w:rsidR="00391FFE" w:rsidRDefault="00391FFE" w:rsidP="00391FFE">
      <w:pPr>
        <w:pStyle w:val="a3"/>
        <w:ind w:firstLine="0"/>
        <w:jc w:val="left"/>
      </w:pPr>
      <w:proofErr w:type="gramStart"/>
      <w:r>
        <w:t>«</w:t>
      </w:r>
      <w:proofErr w:type="spellStart"/>
      <w:r>
        <w:t>Хронолаб</w:t>
      </w:r>
      <w:proofErr w:type="spellEnd"/>
      <w:r>
        <w:t>», Россия)</w:t>
      </w:r>
      <w:proofErr w:type="gramEnd"/>
    </w:p>
    <w:p w:rsidR="00391FFE" w:rsidRDefault="00391FFE" w:rsidP="00391FFE">
      <w:pPr>
        <w:pStyle w:val="a3"/>
        <w:ind w:right="112"/>
      </w:pPr>
      <w:r>
        <w:t xml:space="preserve">Статистическая обработка данных проводилась с помощью компьютерной программы </w:t>
      </w:r>
      <w:proofErr w:type="spellStart"/>
      <w:r>
        <w:t>Statistika</w:t>
      </w:r>
      <w:proofErr w:type="spellEnd"/>
      <w:r>
        <w:t xml:space="preserve"> 20.0.</w:t>
      </w:r>
    </w:p>
    <w:p w:rsidR="00391FFE" w:rsidRDefault="00391FFE" w:rsidP="00391FFE">
      <w:pPr>
        <w:pStyle w:val="a3"/>
        <w:ind w:right="110"/>
      </w:pPr>
      <w:r>
        <w:t>Было обследовано двадцать пациентов с ожирением, при первичном приеме им была рекомендована стандартная диетотерапия. Средний возраст пациентов составил 42 года, причем женщин, страдающих ожирением, больше, чем мужчин:62% женщин, 38% мужчин.</w:t>
      </w:r>
    </w:p>
    <w:p w:rsidR="00391FFE" w:rsidRDefault="00391FFE" w:rsidP="00391FFE">
      <w:pPr>
        <w:pStyle w:val="a3"/>
        <w:ind w:left="968" w:firstLine="0"/>
        <w:jc w:val="left"/>
      </w:pPr>
      <w:r>
        <w:t>Результаты.</w:t>
      </w:r>
    </w:p>
    <w:p w:rsidR="00391FFE" w:rsidRDefault="00391FFE" w:rsidP="00391FFE">
      <w:pPr>
        <w:pStyle w:val="a3"/>
        <w:ind w:right="106"/>
      </w:pPr>
      <w:r>
        <w:t xml:space="preserve">Выявлено, что через три месяца стандартной диетотерапии наблюдались тенденции к нормализации метаболического профиля пациентов. Содержание холестерина в ротовой жидкости снизилось на 12%, триглицеридов - на 10%, глюкозы - на 20%. При этом отмечалась корреляция в изменении показателей крови и ротовой жидкости. Снижение веса пациентов от первоначальных значений составило 5.2% за три месяца терапии. Данные </w:t>
      </w:r>
      <w:proofErr w:type="spellStart"/>
      <w:r>
        <w:t>биоимпедансометрии</w:t>
      </w:r>
      <w:proofErr w:type="spellEnd"/>
      <w:r>
        <w:t xml:space="preserve"> свидетельствуют о качественном с точки зрения композиционного состава снижении массы тел</w:t>
      </w:r>
      <w:proofErr w:type="gramStart"/>
      <w:r>
        <w:t>а(</w:t>
      </w:r>
      <w:proofErr w:type="gramEnd"/>
      <w:r>
        <w:t xml:space="preserve">уменьшение процента жировой </w:t>
      </w:r>
      <w:proofErr w:type="spellStart"/>
      <w:r>
        <w:t>ткани,увеличение</w:t>
      </w:r>
      <w:proofErr w:type="spellEnd"/>
      <w:r>
        <w:t xml:space="preserve"> объема активной клеточной</w:t>
      </w:r>
      <w:r>
        <w:rPr>
          <w:spacing w:val="-6"/>
        </w:rPr>
        <w:t xml:space="preserve"> </w:t>
      </w:r>
      <w:r>
        <w:t>массы,</w:t>
      </w:r>
    </w:p>
    <w:p w:rsidR="00391FFE" w:rsidRDefault="00391FFE" w:rsidP="00391FFE">
      <w:pPr>
        <w:pStyle w:val="a3"/>
        <w:spacing w:before="1"/>
        <w:ind w:left="968" w:right="5184" w:firstLine="0"/>
        <w:jc w:val="left"/>
      </w:pPr>
      <w:r>
        <w:t>изменение значения фазового угла). Выводы:</w:t>
      </w:r>
    </w:p>
    <w:p w:rsidR="00391FFE" w:rsidRDefault="00391FFE" w:rsidP="00391FFE">
      <w:pPr>
        <w:pStyle w:val="a5"/>
        <w:numPr>
          <w:ilvl w:val="1"/>
          <w:numId w:val="2"/>
        </w:numPr>
        <w:tabs>
          <w:tab w:val="left" w:pos="1297"/>
        </w:tabs>
        <w:ind w:right="112" w:firstLine="566"/>
        <w:jc w:val="both"/>
        <w:rPr>
          <w:sz w:val="24"/>
        </w:rPr>
      </w:pPr>
      <w:r>
        <w:rPr>
          <w:sz w:val="24"/>
        </w:rPr>
        <w:t>У пациентов в результате стандартной терапии через 3 месяца происходит снижение массы тела, изменение качественного композиционного состава</w:t>
      </w:r>
      <w:r>
        <w:rPr>
          <w:spacing w:val="-12"/>
          <w:sz w:val="24"/>
        </w:rPr>
        <w:t xml:space="preserve"> </w:t>
      </w:r>
      <w:r>
        <w:rPr>
          <w:sz w:val="24"/>
        </w:rPr>
        <w:t>тела.</w:t>
      </w:r>
    </w:p>
    <w:p w:rsidR="00391FFE" w:rsidRDefault="00391FFE" w:rsidP="00391FFE">
      <w:pPr>
        <w:pStyle w:val="a5"/>
        <w:numPr>
          <w:ilvl w:val="1"/>
          <w:numId w:val="2"/>
        </w:numPr>
        <w:tabs>
          <w:tab w:val="left" w:pos="1288"/>
        </w:tabs>
        <w:ind w:right="112" w:firstLine="566"/>
        <w:jc w:val="both"/>
        <w:rPr>
          <w:sz w:val="24"/>
        </w:rPr>
      </w:pPr>
      <w:r>
        <w:rPr>
          <w:sz w:val="24"/>
        </w:rPr>
        <w:t>В результате лечения изменяются биохимические показатели крови, ротовой жидкости: снижается уровень холестерина, триглицеридов, глюкозы, отмечается тенденция к нормализации метаболического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профиля.</w:t>
      </w:r>
    </w:p>
    <w:p w:rsidR="00391FFE" w:rsidRDefault="00391FFE" w:rsidP="00391FFE">
      <w:pPr>
        <w:pStyle w:val="a3"/>
        <w:ind w:right="109"/>
      </w:pPr>
      <w:r>
        <w:t xml:space="preserve">3.Наблюдается корреляция изменения показателей в крови и ротовой жидкости, что </w:t>
      </w:r>
      <w:r>
        <w:lastRenderedPageBreak/>
        <w:t xml:space="preserve">позволяет рекомендовать исследования параметров ротовой жидкости для </w:t>
      </w:r>
      <w:proofErr w:type="spellStart"/>
      <w:r>
        <w:t>неинвазивного</w:t>
      </w:r>
      <w:proofErr w:type="spellEnd"/>
      <w:r>
        <w:t xml:space="preserve"> контроля эффективности терапии.</w:t>
      </w:r>
    </w:p>
    <w:p w:rsidR="00391FFE" w:rsidRDefault="00391FFE" w:rsidP="00391FFE">
      <w:pPr>
        <w:pStyle w:val="a3"/>
        <w:ind w:left="0" w:firstLine="0"/>
        <w:jc w:val="left"/>
      </w:pPr>
    </w:p>
    <w:p w:rsidR="00391FFE" w:rsidRDefault="00391FFE" w:rsidP="00391FFE">
      <w:pPr>
        <w:pStyle w:val="a3"/>
        <w:ind w:left="968" w:firstLine="0"/>
        <w:jc w:val="left"/>
      </w:pPr>
      <w:r>
        <w:t>Список литературы.</w:t>
      </w:r>
    </w:p>
    <w:p w:rsidR="00391FFE" w:rsidRDefault="00391FFE" w:rsidP="00391FFE">
      <w:pPr>
        <w:pStyle w:val="a5"/>
        <w:numPr>
          <w:ilvl w:val="0"/>
          <w:numId w:val="1"/>
        </w:numPr>
        <w:tabs>
          <w:tab w:val="left" w:pos="1295"/>
        </w:tabs>
        <w:ind w:right="103" w:firstLine="566"/>
        <w:jc w:val="both"/>
        <w:rPr>
          <w:sz w:val="24"/>
        </w:rPr>
      </w:pPr>
      <w:r>
        <w:rPr>
          <w:sz w:val="24"/>
        </w:rPr>
        <w:t>Сазонова О.В., Гинзбург М.М., Якунова Е.М., Галицкая А.В. Модификация рациона питания при ожирении с помощью функциональных питательных смесей // Международный журнал прикладных и фундаментальных исследований. 2016. N2/4. – С. 493-497.</w:t>
      </w:r>
    </w:p>
    <w:p w:rsidR="00391FFE" w:rsidRDefault="00391FFE" w:rsidP="00391FFE">
      <w:pPr>
        <w:pStyle w:val="a5"/>
        <w:numPr>
          <w:ilvl w:val="0"/>
          <w:numId w:val="1"/>
        </w:numPr>
        <w:tabs>
          <w:tab w:val="left" w:pos="1218"/>
        </w:tabs>
        <w:spacing w:before="1"/>
        <w:ind w:right="110" w:firstLine="566"/>
        <w:jc w:val="both"/>
        <w:rPr>
          <w:sz w:val="24"/>
        </w:rPr>
      </w:pPr>
      <w:r>
        <w:rPr>
          <w:sz w:val="24"/>
        </w:rPr>
        <w:t xml:space="preserve">Мякишева Ю.В. и др. Факторы предрасположенности к ожирению у подростков с </w:t>
      </w:r>
      <w:proofErr w:type="gramStart"/>
      <w:r>
        <w:rPr>
          <w:sz w:val="24"/>
        </w:rPr>
        <w:t>сердечно-сосудистой</w:t>
      </w:r>
      <w:proofErr w:type="gramEnd"/>
      <w:r>
        <w:rPr>
          <w:sz w:val="24"/>
        </w:rPr>
        <w:t xml:space="preserve"> патологией. – Евразийский союз ученых, ежемесячный научный журнал. – 2017. - №3(36). – С. 11-13.</w:t>
      </w:r>
    </w:p>
    <w:p w:rsidR="00391FFE" w:rsidRDefault="00391FFE" w:rsidP="00391FFE">
      <w:pPr>
        <w:pStyle w:val="a5"/>
        <w:numPr>
          <w:ilvl w:val="0"/>
          <w:numId w:val="1"/>
        </w:numPr>
        <w:tabs>
          <w:tab w:val="left" w:pos="1221"/>
        </w:tabs>
        <w:ind w:right="104" w:firstLine="566"/>
        <w:jc w:val="both"/>
        <w:rPr>
          <w:sz w:val="24"/>
        </w:rPr>
      </w:pPr>
      <w:r>
        <w:rPr>
          <w:sz w:val="24"/>
        </w:rPr>
        <w:t>Якунова Е.М., Сазонова О.В., Гинзбург М.М., Галицкая А.В. Определение формы локуса контроля как диагностического критерия успешности лечения ожирения // Якутский медицинский журнал. 2015. N3</w:t>
      </w:r>
      <w:r>
        <w:rPr>
          <w:spacing w:val="-5"/>
          <w:sz w:val="24"/>
        </w:rPr>
        <w:t xml:space="preserve"> </w:t>
      </w:r>
      <w:r>
        <w:rPr>
          <w:sz w:val="24"/>
        </w:rPr>
        <w:t>(51).-С.84-86.</w:t>
      </w:r>
    </w:p>
    <w:p w:rsidR="00391FFE" w:rsidRDefault="00391FFE" w:rsidP="00391FFE"/>
    <w:p w:rsidR="00391FFE" w:rsidRDefault="00391FFE" w:rsidP="00391FFE">
      <w:pPr>
        <w:pStyle w:val="a3"/>
        <w:ind w:right="113"/>
        <w:sectPr w:rsidR="00391FFE">
          <w:pgSz w:w="11910" w:h="16840"/>
          <w:pgMar w:top="1040" w:right="740" w:bottom="1220" w:left="1300" w:header="0" w:footer="977" w:gutter="0"/>
          <w:cols w:space="720"/>
        </w:sectPr>
      </w:pPr>
    </w:p>
    <w:p w:rsidR="00F378C5" w:rsidRDefault="00F378C5"/>
    <w:sectPr w:rsidR="00F37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2EE"/>
    <w:multiLevelType w:val="hybridMultilevel"/>
    <w:tmpl w:val="205815D6"/>
    <w:lvl w:ilvl="0" w:tplc="02A6E192">
      <w:start w:val="1"/>
      <w:numFmt w:val="decimal"/>
      <w:lvlText w:val="%1."/>
      <w:lvlJc w:val="left"/>
      <w:pPr>
        <w:ind w:left="402" w:hanging="32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B88673C">
      <w:numFmt w:val="bullet"/>
      <w:lvlText w:val="•"/>
      <w:lvlJc w:val="left"/>
      <w:pPr>
        <w:ind w:left="1346" w:hanging="327"/>
      </w:pPr>
      <w:rPr>
        <w:rFonts w:hint="default"/>
        <w:lang w:val="ru-RU" w:eastAsia="ru-RU" w:bidi="ru-RU"/>
      </w:rPr>
    </w:lvl>
    <w:lvl w:ilvl="2" w:tplc="FB323044">
      <w:numFmt w:val="bullet"/>
      <w:lvlText w:val="•"/>
      <w:lvlJc w:val="left"/>
      <w:pPr>
        <w:ind w:left="2293" w:hanging="327"/>
      </w:pPr>
      <w:rPr>
        <w:rFonts w:hint="default"/>
        <w:lang w:val="ru-RU" w:eastAsia="ru-RU" w:bidi="ru-RU"/>
      </w:rPr>
    </w:lvl>
    <w:lvl w:ilvl="3" w:tplc="2AF68070">
      <w:numFmt w:val="bullet"/>
      <w:lvlText w:val="•"/>
      <w:lvlJc w:val="left"/>
      <w:pPr>
        <w:ind w:left="3239" w:hanging="327"/>
      </w:pPr>
      <w:rPr>
        <w:rFonts w:hint="default"/>
        <w:lang w:val="ru-RU" w:eastAsia="ru-RU" w:bidi="ru-RU"/>
      </w:rPr>
    </w:lvl>
    <w:lvl w:ilvl="4" w:tplc="C98EE8D8">
      <w:numFmt w:val="bullet"/>
      <w:lvlText w:val="•"/>
      <w:lvlJc w:val="left"/>
      <w:pPr>
        <w:ind w:left="4186" w:hanging="327"/>
      </w:pPr>
      <w:rPr>
        <w:rFonts w:hint="default"/>
        <w:lang w:val="ru-RU" w:eastAsia="ru-RU" w:bidi="ru-RU"/>
      </w:rPr>
    </w:lvl>
    <w:lvl w:ilvl="5" w:tplc="2C52BB7C">
      <w:numFmt w:val="bullet"/>
      <w:lvlText w:val="•"/>
      <w:lvlJc w:val="left"/>
      <w:pPr>
        <w:ind w:left="5133" w:hanging="327"/>
      </w:pPr>
      <w:rPr>
        <w:rFonts w:hint="default"/>
        <w:lang w:val="ru-RU" w:eastAsia="ru-RU" w:bidi="ru-RU"/>
      </w:rPr>
    </w:lvl>
    <w:lvl w:ilvl="6" w:tplc="2B1ACB6C">
      <w:numFmt w:val="bullet"/>
      <w:lvlText w:val="•"/>
      <w:lvlJc w:val="left"/>
      <w:pPr>
        <w:ind w:left="6079" w:hanging="327"/>
      </w:pPr>
      <w:rPr>
        <w:rFonts w:hint="default"/>
        <w:lang w:val="ru-RU" w:eastAsia="ru-RU" w:bidi="ru-RU"/>
      </w:rPr>
    </w:lvl>
    <w:lvl w:ilvl="7" w:tplc="7DEE923E">
      <w:numFmt w:val="bullet"/>
      <w:lvlText w:val="•"/>
      <w:lvlJc w:val="left"/>
      <w:pPr>
        <w:ind w:left="7026" w:hanging="327"/>
      </w:pPr>
      <w:rPr>
        <w:rFonts w:hint="default"/>
        <w:lang w:val="ru-RU" w:eastAsia="ru-RU" w:bidi="ru-RU"/>
      </w:rPr>
    </w:lvl>
    <w:lvl w:ilvl="8" w:tplc="F52411BA">
      <w:numFmt w:val="bullet"/>
      <w:lvlText w:val="•"/>
      <w:lvlJc w:val="left"/>
      <w:pPr>
        <w:ind w:left="7973" w:hanging="327"/>
      </w:pPr>
      <w:rPr>
        <w:rFonts w:hint="default"/>
        <w:lang w:val="ru-RU" w:eastAsia="ru-RU" w:bidi="ru-RU"/>
      </w:rPr>
    </w:lvl>
  </w:abstractNum>
  <w:abstractNum w:abstractNumId="1">
    <w:nsid w:val="393F6F6B"/>
    <w:multiLevelType w:val="hybridMultilevel"/>
    <w:tmpl w:val="4A3A1910"/>
    <w:lvl w:ilvl="0" w:tplc="BE0EA4E6">
      <w:start w:val="1"/>
      <w:numFmt w:val="decimal"/>
      <w:lvlText w:val="%1."/>
      <w:lvlJc w:val="left"/>
      <w:pPr>
        <w:ind w:left="402" w:hanging="425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93C8DD7E">
      <w:start w:val="1"/>
      <w:numFmt w:val="decimal"/>
      <w:lvlText w:val="%2."/>
      <w:lvlJc w:val="left"/>
      <w:pPr>
        <w:ind w:left="402" w:hanging="32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D0FA9CF8">
      <w:numFmt w:val="bullet"/>
      <w:lvlText w:val="•"/>
      <w:lvlJc w:val="left"/>
      <w:pPr>
        <w:ind w:left="2293" w:hanging="329"/>
      </w:pPr>
      <w:rPr>
        <w:rFonts w:hint="default"/>
        <w:lang w:val="ru-RU" w:eastAsia="ru-RU" w:bidi="ru-RU"/>
      </w:rPr>
    </w:lvl>
    <w:lvl w:ilvl="3" w:tplc="5A7A5420">
      <w:numFmt w:val="bullet"/>
      <w:lvlText w:val="•"/>
      <w:lvlJc w:val="left"/>
      <w:pPr>
        <w:ind w:left="3239" w:hanging="329"/>
      </w:pPr>
      <w:rPr>
        <w:rFonts w:hint="default"/>
        <w:lang w:val="ru-RU" w:eastAsia="ru-RU" w:bidi="ru-RU"/>
      </w:rPr>
    </w:lvl>
    <w:lvl w:ilvl="4" w:tplc="CF7E904A">
      <w:numFmt w:val="bullet"/>
      <w:lvlText w:val="•"/>
      <w:lvlJc w:val="left"/>
      <w:pPr>
        <w:ind w:left="4186" w:hanging="329"/>
      </w:pPr>
      <w:rPr>
        <w:rFonts w:hint="default"/>
        <w:lang w:val="ru-RU" w:eastAsia="ru-RU" w:bidi="ru-RU"/>
      </w:rPr>
    </w:lvl>
    <w:lvl w:ilvl="5" w:tplc="C95C82CE">
      <w:numFmt w:val="bullet"/>
      <w:lvlText w:val="•"/>
      <w:lvlJc w:val="left"/>
      <w:pPr>
        <w:ind w:left="5133" w:hanging="329"/>
      </w:pPr>
      <w:rPr>
        <w:rFonts w:hint="default"/>
        <w:lang w:val="ru-RU" w:eastAsia="ru-RU" w:bidi="ru-RU"/>
      </w:rPr>
    </w:lvl>
    <w:lvl w:ilvl="6" w:tplc="AE58D3F0">
      <w:numFmt w:val="bullet"/>
      <w:lvlText w:val="•"/>
      <w:lvlJc w:val="left"/>
      <w:pPr>
        <w:ind w:left="6079" w:hanging="329"/>
      </w:pPr>
      <w:rPr>
        <w:rFonts w:hint="default"/>
        <w:lang w:val="ru-RU" w:eastAsia="ru-RU" w:bidi="ru-RU"/>
      </w:rPr>
    </w:lvl>
    <w:lvl w:ilvl="7" w:tplc="3DDED540">
      <w:numFmt w:val="bullet"/>
      <w:lvlText w:val="•"/>
      <w:lvlJc w:val="left"/>
      <w:pPr>
        <w:ind w:left="7026" w:hanging="329"/>
      </w:pPr>
      <w:rPr>
        <w:rFonts w:hint="default"/>
        <w:lang w:val="ru-RU" w:eastAsia="ru-RU" w:bidi="ru-RU"/>
      </w:rPr>
    </w:lvl>
    <w:lvl w:ilvl="8" w:tplc="7CE0086A">
      <w:numFmt w:val="bullet"/>
      <w:lvlText w:val="•"/>
      <w:lvlJc w:val="left"/>
      <w:pPr>
        <w:ind w:left="7973" w:hanging="329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4F"/>
    <w:rsid w:val="00391FFE"/>
    <w:rsid w:val="00D6554F"/>
    <w:rsid w:val="00F3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1F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91FFE"/>
    <w:pPr>
      <w:ind w:left="402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91FF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391FFE"/>
    <w:pPr>
      <w:ind w:left="402" w:firstLine="283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1F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91FFE"/>
    <w:pPr>
      <w:ind w:left="402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91FF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391FFE"/>
    <w:pPr>
      <w:ind w:left="402" w:firstLine="28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582</Words>
  <Characters>3319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2018-01-31T09:24:00Z</dcterms:created>
  <dcterms:modified xsi:type="dcterms:W3CDTF">2018-01-31T09:30:00Z</dcterms:modified>
</cp:coreProperties>
</file>