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BBB" w:rsidRPr="00976BBB" w:rsidRDefault="00976BBB" w:rsidP="00976BBB">
      <w:pPr>
        <w:spacing w:after="0"/>
        <w:jc w:val="center"/>
        <w:outlineLvl w:val="0"/>
        <w:rPr>
          <w:rFonts w:ascii="Times New Roman" w:eastAsia="Times New Roman" w:hAnsi="Times New Roman" w:cs="Times New Roman"/>
          <w:b/>
          <w:sz w:val="24"/>
          <w:szCs w:val="24"/>
        </w:rPr>
      </w:pPr>
      <w:bookmarkStart w:id="0" w:name="_Toc499413951"/>
      <w:bookmarkStart w:id="1" w:name="_Toc514894636"/>
      <w:r w:rsidRPr="00976BBB">
        <w:rPr>
          <w:rFonts w:ascii="Times New Roman" w:eastAsia="Times New Roman" w:hAnsi="Times New Roman" w:cs="Times New Roman"/>
          <w:b/>
          <w:sz w:val="24"/>
          <w:szCs w:val="24"/>
        </w:rPr>
        <w:t>Пушкина А., студентка Московского педагогического государственного университета</w:t>
      </w:r>
    </w:p>
    <w:p w:rsidR="00976BBB" w:rsidRPr="00976BBB" w:rsidRDefault="00976BBB" w:rsidP="005134F9">
      <w:pPr>
        <w:pStyle w:val="2"/>
        <w:jc w:val="center"/>
        <w:rPr>
          <w:rFonts w:ascii="Times New Roman" w:hAnsi="Times New Roman" w:cs="Times New Roman"/>
          <w:color w:val="auto"/>
          <w:sz w:val="24"/>
          <w:szCs w:val="24"/>
        </w:rPr>
      </w:pPr>
      <w:bookmarkStart w:id="2" w:name="_GoBack"/>
      <w:r w:rsidRPr="00976BBB">
        <w:rPr>
          <w:rFonts w:ascii="Times New Roman" w:hAnsi="Times New Roman" w:cs="Times New Roman"/>
          <w:color w:val="auto"/>
          <w:sz w:val="24"/>
          <w:szCs w:val="24"/>
        </w:rPr>
        <w:t xml:space="preserve">Специфика систем управления в </w:t>
      </w:r>
      <w:bookmarkEnd w:id="0"/>
      <w:bookmarkEnd w:id="1"/>
      <w:r w:rsidRPr="00976BBB">
        <w:rPr>
          <w:rFonts w:ascii="Times New Roman" w:hAnsi="Times New Roman" w:cs="Times New Roman"/>
          <w:color w:val="auto"/>
          <w:sz w:val="24"/>
          <w:szCs w:val="24"/>
        </w:rPr>
        <w:t>транснациональных корпорациях</w:t>
      </w:r>
    </w:p>
    <w:bookmarkEnd w:id="2"/>
    <w:p w:rsidR="00976BBB" w:rsidRDefault="00976BBB" w:rsidP="00976BBB">
      <w:pPr>
        <w:rPr>
          <w:rFonts w:ascii="Times New Roman" w:hAnsi="Times New Roman" w:cs="Times New Roman"/>
          <w:sz w:val="24"/>
          <w:szCs w:val="24"/>
        </w:rPr>
      </w:pPr>
    </w:p>
    <w:p w:rsidR="00976BBB" w:rsidRDefault="00976BBB" w:rsidP="00976BBB">
      <w:pPr>
        <w:pStyle w:val="a6"/>
        <w:spacing w:line="360" w:lineRule="auto"/>
        <w:ind w:firstLine="709"/>
        <w:contextualSpacing/>
        <w:jc w:val="both"/>
      </w:pPr>
      <w:r w:rsidRPr="00976BBB">
        <w:rPr>
          <w:b/>
        </w:rPr>
        <w:t>Аннотация:</w:t>
      </w:r>
      <w:r>
        <w:t xml:space="preserve"> в статье рассматривается специфика системы управления, особенностью управления которой </w:t>
      </w:r>
      <w:r w:rsidRPr="00976BBB">
        <w:t>является установление системы международного производства</w:t>
      </w:r>
      <w:r>
        <w:t>. Т</w:t>
      </w:r>
      <w:r w:rsidRPr="00976BBB">
        <w:t>ранснациональные компании активно проникают в высокотехнологичные и наукоемкие отрасли производства и монополизируют их.</w:t>
      </w:r>
      <w:r>
        <w:t xml:space="preserve"> </w:t>
      </w:r>
      <w:r w:rsidRPr="00976BBB">
        <w:t>Для успешной деятельности корпорации необходимо привлечение огромных инвестиций и наличие высококвалифицированного персонала.</w:t>
      </w:r>
    </w:p>
    <w:p w:rsidR="00976BBB" w:rsidRPr="00F73609" w:rsidRDefault="00976BBB" w:rsidP="00F73609">
      <w:pPr>
        <w:pStyle w:val="a6"/>
        <w:spacing w:line="360" w:lineRule="auto"/>
        <w:ind w:firstLine="709"/>
        <w:contextualSpacing/>
        <w:jc w:val="both"/>
        <w:rPr>
          <w:i/>
        </w:rPr>
      </w:pPr>
      <w:r w:rsidRPr="00F73609">
        <w:rPr>
          <w:b/>
          <w:i/>
        </w:rPr>
        <w:t>Ключевые слова:</w:t>
      </w:r>
      <w:r w:rsidRPr="00F73609">
        <w:rPr>
          <w:i/>
        </w:rPr>
        <w:t xml:space="preserve"> </w:t>
      </w:r>
      <w:r w:rsidR="00F73609" w:rsidRPr="00F73609">
        <w:rPr>
          <w:i/>
        </w:rPr>
        <w:t>система управления, деятельность, компания.</w:t>
      </w:r>
    </w:p>
    <w:p w:rsidR="00F73609" w:rsidRPr="00F73609" w:rsidRDefault="00F73609" w:rsidP="00F73609">
      <w:pPr>
        <w:pStyle w:val="a6"/>
        <w:spacing w:line="360" w:lineRule="auto"/>
        <w:ind w:firstLine="709"/>
        <w:contextualSpacing/>
        <w:jc w:val="both"/>
        <w:rPr>
          <w:i/>
        </w:rPr>
      </w:pPr>
    </w:p>
    <w:p w:rsidR="00976BBB" w:rsidRPr="00976BBB" w:rsidRDefault="00976BBB" w:rsidP="00976BBB">
      <w:pPr>
        <w:pStyle w:val="a6"/>
        <w:spacing w:line="360" w:lineRule="auto"/>
        <w:ind w:firstLine="709"/>
        <w:contextualSpacing/>
        <w:jc w:val="both"/>
      </w:pPr>
      <w:r w:rsidRPr="00976BBB">
        <w:t xml:space="preserve">Характерной особенностью транснациональных корпораций является установление системы международного производства, основанной на размещении филиалов, дочерних компаний и отделений по странам всего мира. </w:t>
      </w:r>
    </w:p>
    <w:p w:rsidR="00976BBB" w:rsidRPr="00976BBB" w:rsidRDefault="00976BBB" w:rsidP="00976BBB">
      <w:pPr>
        <w:pStyle w:val="a6"/>
        <w:spacing w:line="360" w:lineRule="auto"/>
        <w:ind w:firstLine="709"/>
        <w:contextualSpacing/>
        <w:jc w:val="both"/>
      </w:pPr>
      <w:r w:rsidRPr="00976BBB">
        <w:t>В настоящее время транснациональные компании активно проникают в высокотехнологичные и наукоемкие отрасли производства и монополизируют их. В России, из-за отсутствия мирового опыта управления, существует небольшое количество чисто национальных фирм, действующих в развитых отраслях экономики. Для успешной деятельности корпорации необходимо привлечение огромных инвестиций и наличие высококвалифицированного персонала.</w:t>
      </w:r>
    </w:p>
    <w:p w:rsidR="00976BBB" w:rsidRDefault="00976BBB" w:rsidP="00976BBB">
      <w:pPr>
        <w:pStyle w:val="a6"/>
        <w:spacing w:line="360" w:lineRule="auto"/>
        <w:ind w:firstLine="709"/>
        <w:contextualSpacing/>
        <w:jc w:val="both"/>
      </w:pPr>
      <w:r w:rsidRPr="00976BBB">
        <w:t xml:space="preserve"> За весь период существования ТНК претерпели ряд изменений в структуре системы управления, а также поменялись ценностные ориентиры компаний. В табл. 1 сопоставлены основные эволюционные этапы развития ТНК, характерные черты управления и их ценностные ориентиры. Указанные особенности присущи всем мировым ТНК, в том числе и российским.</w:t>
      </w:r>
    </w:p>
    <w:p w:rsidR="00C0512B" w:rsidRPr="00C0512B" w:rsidRDefault="00C0512B" w:rsidP="00976BBB">
      <w:pPr>
        <w:pStyle w:val="a6"/>
        <w:spacing w:line="360" w:lineRule="auto"/>
        <w:ind w:firstLine="709"/>
        <w:contextualSpacing/>
        <w:jc w:val="both"/>
        <w:rPr>
          <w:sz w:val="10"/>
        </w:rPr>
      </w:pPr>
    </w:p>
    <w:p w:rsidR="00976BBB" w:rsidRPr="00C0512B" w:rsidRDefault="00976BBB" w:rsidP="00976BBB">
      <w:pPr>
        <w:pStyle w:val="a6"/>
        <w:spacing w:line="360" w:lineRule="auto"/>
        <w:ind w:firstLine="709"/>
        <w:contextualSpacing/>
        <w:jc w:val="both"/>
        <w:rPr>
          <w:sz w:val="4"/>
        </w:rPr>
      </w:pPr>
    </w:p>
    <w:p w:rsidR="00976BBB" w:rsidRDefault="00976BBB" w:rsidP="00C0512B">
      <w:pPr>
        <w:pStyle w:val="a6"/>
        <w:jc w:val="center"/>
      </w:pPr>
      <w:r w:rsidRPr="00976BBB">
        <w:t xml:space="preserve">Таблица 1 – Эволюция ценностных ориентиров и характерных черт управления ТНК </w:t>
      </w:r>
      <w:r w:rsidRPr="00976BBB">
        <w:rPr>
          <w:rStyle w:val="a5"/>
          <w:rFonts w:eastAsiaTheme="majorEastAsia"/>
        </w:rPr>
        <w:footnoteReference w:id="1"/>
      </w:r>
    </w:p>
    <w:p w:rsidR="00C0512B" w:rsidRPr="00C0512B" w:rsidRDefault="00C0512B" w:rsidP="00C0512B">
      <w:pPr>
        <w:pStyle w:val="a6"/>
        <w:jc w:val="center"/>
        <w:rPr>
          <w:sz w:val="2"/>
        </w:rPr>
      </w:pPr>
    </w:p>
    <w:tbl>
      <w:tblPr>
        <w:tblStyle w:val="a7"/>
        <w:tblW w:w="0" w:type="auto"/>
        <w:tblInd w:w="108" w:type="dxa"/>
        <w:tblLook w:val="04A0" w:firstRow="1" w:lastRow="0" w:firstColumn="1" w:lastColumn="0" w:noHBand="0" w:noVBand="1"/>
      </w:tblPr>
      <w:tblGrid>
        <w:gridCol w:w="4677"/>
        <w:gridCol w:w="4679"/>
      </w:tblGrid>
      <w:tr w:rsidR="00976BBB" w:rsidRPr="00976BBB" w:rsidTr="00FB40B7">
        <w:tc>
          <w:tcPr>
            <w:tcW w:w="4677" w:type="dxa"/>
          </w:tcPr>
          <w:p w:rsidR="00976BBB" w:rsidRPr="00976BBB" w:rsidRDefault="00976BBB" w:rsidP="00FB40B7">
            <w:pPr>
              <w:pStyle w:val="a6"/>
              <w:spacing w:before="0" w:beforeAutospacing="0" w:after="0" w:afterAutospacing="0"/>
              <w:jc w:val="center"/>
            </w:pPr>
            <w:r w:rsidRPr="00976BBB">
              <w:t>Период</w:t>
            </w:r>
          </w:p>
        </w:tc>
        <w:tc>
          <w:tcPr>
            <w:tcW w:w="4679" w:type="dxa"/>
          </w:tcPr>
          <w:p w:rsidR="00976BBB" w:rsidRPr="00976BBB" w:rsidRDefault="00976BBB" w:rsidP="00FB40B7">
            <w:pPr>
              <w:pStyle w:val="a6"/>
              <w:spacing w:before="0" w:beforeAutospacing="0" w:after="0" w:afterAutospacing="0"/>
              <w:jc w:val="center"/>
            </w:pPr>
            <w:r w:rsidRPr="00976BBB">
              <w:t>Характерные черты управления ТНК</w:t>
            </w:r>
          </w:p>
        </w:tc>
      </w:tr>
      <w:tr w:rsidR="00976BBB" w:rsidRPr="00976BBB" w:rsidTr="00FB40B7">
        <w:tc>
          <w:tcPr>
            <w:tcW w:w="4677" w:type="dxa"/>
          </w:tcPr>
          <w:p w:rsidR="00976BBB" w:rsidRPr="00976BBB" w:rsidRDefault="00976BBB" w:rsidP="00FB40B7">
            <w:pPr>
              <w:pStyle w:val="a6"/>
              <w:spacing w:before="0" w:beforeAutospacing="0" w:after="0" w:afterAutospacing="0"/>
            </w:pPr>
            <w:r w:rsidRPr="00976BBB">
              <w:t xml:space="preserve">Конец </w:t>
            </w:r>
            <w:r w:rsidRPr="00976BBB">
              <w:rPr>
                <w:lang w:val="en-US"/>
              </w:rPr>
              <w:t>XIX</w:t>
            </w:r>
            <w:r w:rsidRPr="00976BBB">
              <w:t xml:space="preserve"> века – 30-е годы 20 века</w:t>
            </w:r>
          </w:p>
        </w:tc>
        <w:tc>
          <w:tcPr>
            <w:tcW w:w="4679" w:type="dxa"/>
          </w:tcPr>
          <w:p w:rsidR="00976BBB" w:rsidRPr="00976BBB" w:rsidRDefault="00976BBB" w:rsidP="00FB40B7">
            <w:pPr>
              <w:pStyle w:val="a6"/>
              <w:spacing w:before="0" w:beforeAutospacing="0" w:after="0" w:afterAutospacing="0"/>
            </w:pPr>
            <w:r w:rsidRPr="00976BBB">
              <w:t>- Бизнес только ради роста прибыли</w:t>
            </w:r>
          </w:p>
          <w:p w:rsidR="00976BBB" w:rsidRPr="00976BBB" w:rsidRDefault="00976BBB" w:rsidP="00FB40B7">
            <w:pPr>
              <w:pStyle w:val="a6"/>
              <w:spacing w:before="0" w:beforeAutospacing="0" w:after="0" w:afterAutospacing="0"/>
            </w:pPr>
            <w:r w:rsidRPr="00976BBB">
              <w:t>- Экстенсивность развития</w:t>
            </w:r>
          </w:p>
          <w:p w:rsidR="00976BBB" w:rsidRPr="00976BBB" w:rsidRDefault="00976BBB" w:rsidP="00FB40B7">
            <w:pPr>
              <w:pStyle w:val="a6"/>
              <w:spacing w:before="0" w:beforeAutospacing="0" w:after="0" w:afterAutospacing="0"/>
            </w:pPr>
            <w:r w:rsidRPr="00976BBB">
              <w:t xml:space="preserve">- Интенсивность эксплуатации ресурсов и </w:t>
            </w:r>
            <w:r w:rsidRPr="00976BBB">
              <w:lastRenderedPageBreak/>
              <w:t>рабочей силы</w:t>
            </w:r>
          </w:p>
        </w:tc>
      </w:tr>
      <w:tr w:rsidR="00976BBB" w:rsidRPr="00976BBB" w:rsidTr="00FB40B7">
        <w:tc>
          <w:tcPr>
            <w:tcW w:w="4677" w:type="dxa"/>
          </w:tcPr>
          <w:p w:rsidR="00976BBB" w:rsidRPr="00976BBB" w:rsidRDefault="00976BBB" w:rsidP="00FB40B7">
            <w:pPr>
              <w:pStyle w:val="a6"/>
              <w:spacing w:before="0" w:beforeAutospacing="0" w:after="0" w:afterAutospacing="0"/>
            </w:pPr>
            <w:r w:rsidRPr="00976BBB">
              <w:lastRenderedPageBreak/>
              <w:t xml:space="preserve">С 30-х по 60-е годы </w:t>
            </w:r>
            <w:r w:rsidRPr="00976BBB">
              <w:rPr>
                <w:lang w:val="en-US"/>
              </w:rPr>
              <w:t>XX</w:t>
            </w:r>
            <w:r w:rsidRPr="00976BBB">
              <w:t xml:space="preserve"> века</w:t>
            </w:r>
          </w:p>
        </w:tc>
        <w:tc>
          <w:tcPr>
            <w:tcW w:w="4679" w:type="dxa"/>
          </w:tcPr>
          <w:p w:rsidR="00976BBB" w:rsidRPr="00976BBB" w:rsidRDefault="00976BBB" w:rsidP="00FB40B7">
            <w:pPr>
              <w:pStyle w:val="a6"/>
              <w:spacing w:before="0" w:beforeAutospacing="0" w:after="0" w:afterAutospacing="0"/>
            </w:pPr>
            <w:r w:rsidRPr="00976BBB">
              <w:t>- Развитие человеческого капитала</w:t>
            </w:r>
          </w:p>
          <w:p w:rsidR="00976BBB" w:rsidRPr="00976BBB" w:rsidRDefault="00976BBB" w:rsidP="00FB40B7">
            <w:pPr>
              <w:pStyle w:val="a6"/>
              <w:spacing w:before="0" w:beforeAutospacing="0" w:after="0" w:afterAutospacing="0"/>
            </w:pPr>
            <w:r w:rsidRPr="00976BBB">
              <w:t>- Развитие интенсивных методов производства</w:t>
            </w:r>
          </w:p>
        </w:tc>
      </w:tr>
      <w:tr w:rsidR="00976BBB" w:rsidRPr="00976BBB" w:rsidTr="00FB40B7">
        <w:tc>
          <w:tcPr>
            <w:tcW w:w="4677" w:type="dxa"/>
          </w:tcPr>
          <w:p w:rsidR="00976BBB" w:rsidRPr="00976BBB" w:rsidRDefault="00976BBB" w:rsidP="00FB40B7">
            <w:pPr>
              <w:pStyle w:val="a6"/>
              <w:spacing w:before="0" w:beforeAutospacing="0" w:after="0" w:afterAutospacing="0"/>
            </w:pPr>
            <w:r w:rsidRPr="00976BBB">
              <w:t xml:space="preserve">С конца 60-х годов </w:t>
            </w:r>
            <w:r w:rsidRPr="00976BBB">
              <w:rPr>
                <w:lang w:val="en-US"/>
              </w:rPr>
              <w:t>XX</w:t>
            </w:r>
            <w:r w:rsidRPr="00976BBB">
              <w:t xml:space="preserve"> века – </w:t>
            </w:r>
            <w:r w:rsidRPr="00976BBB">
              <w:rPr>
                <w:lang w:val="en-US"/>
              </w:rPr>
              <w:t>XXI</w:t>
            </w:r>
            <w:r w:rsidRPr="00976BBB">
              <w:t xml:space="preserve"> век</w:t>
            </w:r>
          </w:p>
        </w:tc>
        <w:tc>
          <w:tcPr>
            <w:tcW w:w="4679" w:type="dxa"/>
          </w:tcPr>
          <w:p w:rsidR="00976BBB" w:rsidRPr="00976BBB" w:rsidRDefault="00976BBB" w:rsidP="00FB40B7">
            <w:pPr>
              <w:pStyle w:val="a6"/>
              <w:spacing w:before="0" w:beforeAutospacing="0" w:after="0" w:afterAutospacing="0"/>
            </w:pPr>
            <w:r w:rsidRPr="00976BBB">
              <w:t>- Социальная ответственность</w:t>
            </w:r>
          </w:p>
          <w:p w:rsidR="00976BBB" w:rsidRPr="00976BBB" w:rsidRDefault="00976BBB" w:rsidP="00FB40B7">
            <w:pPr>
              <w:pStyle w:val="a6"/>
              <w:spacing w:before="0" w:beforeAutospacing="0" w:after="0" w:afterAutospacing="0"/>
            </w:pPr>
            <w:r w:rsidRPr="00976BBB">
              <w:t>- Экологическая ответственность</w:t>
            </w:r>
          </w:p>
          <w:p w:rsidR="00976BBB" w:rsidRPr="00976BBB" w:rsidRDefault="00976BBB" w:rsidP="00FB40B7">
            <w:pPr>
              <w:pStyle w:val="a6"/>
              <w:spacing w:before="0" w:beforeAutospacing="0" w:after="0" w:afterAutospacing="0"/>
            </w:pPr>
            <w:r w:rsidRPr="00976BBB">
              <w:t>- Борьба с дискриминацией</w:t>
            </w:r>
          </w:p>
          <w:p w:rsidR="00976BBB" w:rsidRPr="00976BBB" w:rsidRDefault="00976BBB" w:rsidP="00FB40B7">
            <w:pPr>
              <w:pStyle w:val="a6"/>
              <w:spacing w:before="0" w:beforeAutospacing="0" w:after="0" w:afterAutospacing="0"/>
            </w:pPr>
            <w:r w:rsidRPr="00976BBB">
              <w:t>- Охрана труда по мировым стандартам</w:t>
            </w:r>
          </w:p>
        </w:tc>
      </w:tr>
    </w:tbl>
    <w:p w:rsidR="00976BBB" w:rsidRPr="00976BBB" w:rsidRDefault="00976BBB" w:rsidP="00976BBB">
      <w:pPr>
        <w:pStyle w:val="a6"/>
        <w:jc w:val="both"/>
      </w:pPr>
    </w:p>
    <w:p w:rsidR="00976BBB" w:rsidRPr="00976BBB" w:rsidRDefault="00976BBB" w:rsidP="00976BBB">
      <w:pPr>
        <w:pStyle w:val="a6"/>
        <w:spacing w:line="360" w:lineRule="auto"/>
        <w:ind w:firstLine="709"/>
        <w:contextualSpacing/>
        <w:jc w:val="both"/>
      </w:pPr>
      <w:r w:rsidRPr="00976BBB">
        <w:t xml:space="preserve">Табл. 1 свидетельствует о том, что эволюция ТНК соответствует основным этапам развития общества. Осознание того, что природные ресурсы </w:t>
      </w:r>
      <w:proofErr w:type="spellStart"/>
      <w:r w:rsidRPr="00976BBB">
        <w:t>исчерпаемы</w:t>
      </w:r>
      <w:proofErr w:type="spellEnd"/>
      <w:r w:rsidRPr="00976BBB">
        <w:t>, привело человечество к необходимости разработки решений их рационального использования. А развитие человеческих ресурсов вышло на новый уровень в связи с началом новой системы социально-экономического развития общества.</w:t>
      </w:r>
    </w:p>
    <w:p w:rsidR="00976BBB" w:rsidRPr="00976BBB" w:rsidRDefault="00976BBB" w:rsidP="00976BBB">
      <w:pPr>
        <w:pStyle w:val="a6"/>
        <w:spacing w:line="360" w:lineRule="auto"/>
        <w:ind w:firstLine="709"/>
        <w:contextualSpacing/>
        <w:jc w:val="both"/>
      </w:pPr>
      <w:r w:rsidRPr="00976BBB">
        <w:t>Иная точка зрения на эволюцию ТНК с позиции развития валютных систем приведена в приложении 2.</w:t>
      </w:r>
    </w:p>
    <w:p w:rsidR="00976BBB" w:rsidRPr="00976BBB" w:rsidRDefault="00976BBB" w:rsidP="00976BBB">
      <w:pPr>
        <w:pStyle w:val="a6"/>
        <w:spacing w:line="360" w:lineRule="auto"/>
        <w:ind w:firstLine="709"/>
        <w:contextualSpacing/>
        <w:jc w:val="both"/>
      </w:pPr>
      <w:r w:rsidRPr="00976BBB">
        <w:t xml:space="preserve">С точки зрения В.Ю. Черновой, в настоящее время идет шестой этап развития ТНК с </w:t>
      </w:r>
      <w:proofErr w:type="spellStart"/>
      <w:r w:rsidRPr="00976BBB">
        <w:t>бивалютной</w:t>
      </w:r>
      <w:proofErr w:type="spellEnd"/>
      <w:r w:rsidRPr="00976BBB">
        <w:t xml:space="preserve"> системой, а далее будет этап, связанный с новой валютной системой</w:t>
      </w:r>
      <w:r w:rsidRPr="00976BBB">
        <w:rPr>
          <w:rStyle w:val="a5"/>
          <w:rFonts w:eastAsiaTheme="majorEastAsia"/>
        </w:rPr>
        <w:footnoteReference w:id="2"/>
      </w:r>
      <w:r w:rsidRPr="00976BBB">
        <w:t>.</w:t>
      </w:r>
    </w:p>
    <w:p w:rsidR="00976BBB" w:rsidRPr="00976BBB" w:rsidRDefault="00976BBB" w:rsidP="00976BBB">
      <w:pPr>
        <w:pStyle w:val="a6"/>
        <w:spacing w:line="360" w:lineRule="auto"/>
        <w:ind w:firstLine="709"/>
        <w:contextualSpacing/>
        <w:jc w:val="both"/>
        <w:rPr>
          <w:color w:val="000000"/>
        </w:rPr>
      </w:pPr>
      <w:r w:rsidRPr="00976BBB">
        <w:rPr>
          <w:color w:val="000000"/>
        </w:rPr>
        <w:t xml:space="preserve">Исследователь Е.В. </w:t>
      </w:r>
      <w:proofErr w:type="spellStart"/>
      <w:r w:rsidRPr="00976BBB">
        <w:rPr>
          <w:color w:val="000000"/>
        </w:rPr>
        <w:t>Бузулукова</w:t>
      </w:r>
      <w:proofErr w:type="spellEnd"/>
      <w:r w:rsidRPr="00976BBB">
        <w:rPr>
          <w:color w:val="000000"/>
        </w:rPr>
        <w:t xml:space="preserve"> в своей работе выделяет особенности управления ТНК. В диссертации упоминается, что оборот сектора горизонтальной межфирменной кооперации в 2011 году превысил 2 трлн долл. Следовательно, появляется новое видение этого процесса, которое предполагает пересечение, взаимодействие и конкуренцию не отдельно взятых предприятий, а прочно связанных объединений экономических агентов. Это влияет на подходы, которые используют ТНК во время изучения и освоения новых зон мирового рынка, а также на особенности управления компаниями. Наравне с контролем отношений между производственными подразделениями, особое внимание уделяется организации взаимодействия с иностранными партнерами</w:t>
      </w:r>
      <w:r w:rsidRPr="00976BBB">
        <w:rPr>
          <w:rStyle w:val="a5"/>
          <w:rFonts w:eastAsiaTheme="majorEastAsia"/>
          <w:color w:val="000000"/>
        </w:rPr>
        <w:footnoteReference w:id="3"/>
      </w:r>
      <w:r w:rsidRPr="00976BBB">
        <w:rPr>
          <w:color w:val="000000"/>
        </w:rPr>
        <w:t>.</w:t>
      </w:r>
    </w:p>
    <w:p w:rsidR="00976BBB" w:rsidRPr="00976BBB" w:rsidRDefault="00976BBB" w:rsidP="00976BBB">
      <w:pPr>
        <w:pStyle w:val="a6"/>
        <w:spacing w:line="360" w:lineRule="auto"/>
        <w:ind w:firstLine="709"/>
        <w:contextualSpacing/>
        <w:jc w:val="both"/>
        <w:rPr>
          <w:color w:val="000000"/>
        </w:rPr>
      </w:pPr>
      <w:r w:rsidRPr="00976BBB">
        <w:rPr>
          <w:color w:val="000000"/>
        </w:rPr>
        <w:t xml:space="preserve">Особенности систем управления проявляются также и в уровне централизации, которая заключается в сосредоточении власти в руках  головного центра корпорации. Главные задачи централизации: </w:t>
      </w:r>
    </w:p>
    <w:p w:rsidR="00976BBB" w:rsidRPr="00976BBB" w:rsidRDefault="00976BBB" w:rsidP="00976BBB">
      <w:pPr>
        <w:pStyle w:val="a6"/>
        <w:numPr>
          <w:ilvl w:val="0"/>
          <w:numId w:val="2"/>
        </w:numPr>
        <w:spacing w:line="360" w:lineRule="auto"/>
        <w:ind w:left="0" w:firstLine="709"/>
        <w:contextualSpacing/>
        <w:jc w:val="both"/>
        <w:rPr>
          <w:color w:val="000000"/>
        </w:rPr>
      </w:pPr>
      <w:r w:rsidRPr="00976BBB">
        <w:rPr>
          <w:color w:val="000000"/>
        </w:rPr>
        <w:t xml:space="preserve">увеличить эффективность синергии; </w:t>
      </w:r>
    </w:p>
    <w:p w:rsidR="00976BBB" w:rsidRPr="00976BBB" w:rsidRDefault="00976BBB" w:rsidP="00976BBB">
      <w:pPr>
        <w:pStyle w:val="a6"/>
        <w:numPr>
          <w:ilvl w:val="0"/>
          <w:numId w:val="2"/>
        </w:numPr>
        <w:spacing w:line="360" w:lineRule="auto"/>
        <w:ind w:left="0" w:firstLine="709"/>
        <w:contextualSpacing/>
        <w:jc w:val="both"/>
        <w:rPr>
          <w:color w:val="000000"/>
        </w:rPr>
      </w:pPr>
      <w:r w:rsidRPr="00976BBB">
        <w:rPr>
          <w:color w:val="000000"/>
        </w:rPr>
        <w:lastRenderedPageBreak/>
        <w:t xml:space="preserve">улучшить процесс координации;  </w:t>
      </w:r>
    </w:p>
    <w:p w:rsidR="00976BBB" w:rsidRPr="00976BBB" w:rsidRDefault="00976BBB" w:rsidP="00976BBB">
      <w:pPr>
        <w:pStyle w:val="a6"/>
        <w:numPr>
          <w:ilvl w:val="0"/>
          <w:numId w:val="2"/>
        </w:numPr>
        <w:spacing w:line="360" w:lineRule="auto"/>
        <w:ind w:left="0" w:firstLine="709"/>
        <w:contextualSpacing/>
        <w:jc w:val="both"/>
        <w:rPr>
          <w:color w:val="000000"/>
        </w:rPr>
      </w:pPr>
      <w:r w:rsidRPr="00976BBB">
        <w:rPr>
          <w:color w:val="000000"/>
        </w:rPr>
        <w:t xml:space="preserve">предотвратить возможные ошибки, допускаемые в нижней части иерархической системы управления.  </w:t>
      </w:r>
    </w:p>
    <w:p w:rsidR="00976BBB" w:rsidRPr="00976BBB" w:rsidRDefault="00976BBB" w:rsidP="00976BBB">
      <w:pPr>
        <w:pStyle w:val="a6"/>
        <w:spacing w:line="360" w:lineRule="auto"/>
        <w:ind w:firstLine="709"/>
        <w:contextualSpacing/>
        <w:jc w:val="both"/>
      </w:pPr>
      <w:r w:rsidRPr="00976BBB">
        <w:t>Ученый из Америки Д. Гель предложил способ выявления уровня централизации в компаниях. Он опросил руководителей головных компаний и их подразделений 10 крупных американских транснациональных корпораций обрабатывающей промышленности. Все фирмы имели иностранные филиалы, которые полностью принадлежали материнским компаниям, минимум в 12 странах, доля зарубежных продаж в общем объеме реализации находилась на уровне от 27 до 46%. Опрос показал, что уровень централизации принятия управленческих решений в шести различных сферах деятельности ТНК существенно различается</w:t>
      </w:r>
      <w:r w:rsidRPr="00976BBB">
        <w:rPr>
          <w:rStyle w:val="a5"/>
          <w:rFonts w:eastAsiaTheme="majorEastAsia"/>
        </w:rPr>
        <w:footnoteReference w:id="4"/>
      </w:r>
      <w:r w:rsidRPr="00976BBB">
        <w:t xml:space="preserve">. </w:t>
      </w:r>
    </w:p>
    <w:p w:rsidR="00976BBB" w:rsidRPr="00976BBB" w:rsidRDefault="00976BBB" w:rsidP="00976BBB">
      <w:pPr>
        <w:pStyle w:val="a6"/>
        <w:spacing w:line="360" w:lineRule="auto"/>
        <w:ind w:firstLine="709"/>
        <w:contextualSpacing/>
        <w:jc w:val="both"/>
      </w:pPr>
      <w:r w:rsidRPr="00976BBB">
        <w:t>Для оценки уровня централизации Д. Гель применил балльную систему от 1 до 5 баллов, где 1 балл – полная децентрализация, т.е. решение филиал принимает самостоятельно, а 5 баллов – высокая степень централизации. В результате опроса были выведены средние баллы для всех опрашиваемых транснациональных компаний по тому или иному критерию (рис.1).</w:t>
      </w:r>
    </w:p>
    <w:p w:rsidR="00976BBB" w:rsidRPr="00976BBB" w:rsidRDefault="00976BBB" w:rsidP="00976BBB">
      <w:pPr>
        <w:pStyle w:val="a6"/>
        <w:spacing w:line="360" w:lineRule="auto"/>
        <w:ind w:firstLine="709"/>
        <w:contextualSpacing/>
        <w:jc w:val="both"/>
      </w:pPr>
    </w:p>
    <w:p w:rsidR="00976BBB" w:rsidRPr="00976BBB" w:rsidRDefault="00976BBB" w:rsidP="00976BBB">
      <w:pPr>
        <w:pStyle w:val="a6"/>
        <w:spacing w:line="360" w:lineRule="auto"/>
        <w:contextualSpacing/>
        <w:jc w:val="center"/>
      </w:pPr>
      <w:r w:rsidRPr="00976BBB">
        <w:rPr>
          <w:noProof/>
        </w:rPr>
        <w:drawing>
          <wp:inline distT="0" distB="0" distL="0" distR="0">
            <wp:extent cx="5737860" cy="3421380"/>
            <wp:effectExtent l="0" t="0" r="15240" b="266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76BBB" w:rsidRPr="00976BBB" w:rsidRDefault="00976BBB" w:rsidP="00976BBB">
      <w:pPr>
        <w:pStyle w:val="a6"/>
        <w:spacing w:line="360" w:lineRule="auto"/>
        <w:contextualSpacing/>
        <w:jc w:val="center"/>
      </w:pPr>
      <w:r w:rsidRPr="00976BBB">
        <w:t>Рисунок 1.  Оценка уровня централизации ТНК (в баллах)</w:t>
      </w:r>
    </w:p>
    <w:p w:rsidR="00976BBB" w:rsidRPr="00976BBB" w:rsidRDefault="00976BBB" w:rsidP="00976BBB">
      <w:pPr>
        <w:pStyle w:val="a6"/>
        <w:spacing w:line="360" w:lineRule="auto"/>
        <w:ind w:firstLine="709"/>
        <w:contextualSpacing/>
        <w:jc w:val="both"/>
      </w:pPr>
      <w:r w:rsidRPr="00976BBB">
        <w:lastRenderedPageBreak/>
        <w:t xml:space="preserve">Исследование показало, что принятие управленческих решений в финансовой отрасли и в научно-исследовательской деятельности наиболее централизованно. Наименее централизованно – принятие решений в области маркетинга и закупок. </w:t>
      </w:r>
    </w:p>
    <w:p w:rsidR="00976BBB" w:rsidRPr="00976BBB" w:rsidRDefault="00976BBB" w:rsidP="00976BBB">
      <w:pPr>
        <w:pStyle w:val="a6"/>
        <w:spacing w:line="360" w:lineRule="auto"/>
        <w:ind w:firstLine="709"/>
        <w:contextualSpacing/>
        <w:jc w:val="both"/>
      </w:pPr>
      <w:r w:rsidRPr="00976BBB">
        <w:t>Транснациональные корпорации располагают головным офисом в конкретной стране, т.е. имеют определенную базовую локализацию несмотря на значительное число иностранных дочерних предприятий и их деятельность построена на основе взаимодействия подразделений компании с головным центром. Централизация системы управления выражается в абсолютных полномочиях материнской компании осуществлять надзор за всеми структурными подразделениями ТНК</w:t>
      </w:r>
      <w:r w:rsidRPr="00976BBB">
        <w:rPr>
          <w:rStyle w:val="a5"/>
        </w:rPr>
        <w:footnoteReference w:id="5"/>
      </w:r>
      <w:r w:rsidRPr="00976BBB">
        <w:t>.</w:t>
      </w:r>
    </w:p>
    <w:p w:rsidR="00976BBB" w:rsidRPr="00976BBB" w:rsidRDefault="00976BBB" w:rsidP="00976BBB">
      <w:pPr>
        <w:pStyle w:val="a6"/>
        <w:spacing w:line="360" w:lineRule="auto"/>
        <w:ind w:firstLine="709"/>
        <w:contextualSpacing/>
        <w:jc w:val="both"/>
      </w:pPr>
      <w:r w:rsidRPr="00976BBB">
        <w:t xml:space="preserve">В связи с децентрализацией процессов управления корпорации стремятся к усовершенствованию управленческих методов путем передачи большей части функций высшего уровня дочерним предприятиям за рубежом. Очень важно, чтобы компании расширяли практику приглашения руководителей высшего звена из своих дочерних компаний. Менеджер, который уверенно чувствует себя в кризисной ситуации, способен лучше справиться с решением проблем управления. Управляющий должен уметь принимать решения при отсутствии контроля свыше и не должен быть подчинен коллективному </w:t>
      </w:r>
      <w:proofErr w:type="spellStart"/>
      <w:r w:rsidRPr="00976BBB">
        <w:t>внегрупповому</w:t>
      </w:r>
      <w:proofErr w:type="spellEnd"/>
      <w:r w:rsidRPr="00976BBB">
        <w:t xml:space="preserve"> и внутригрупповому мышлению, т.к. это может способствовать ограничению взаимодействия с другими филиалами корпорации.</w:t>
      </w:r>
    </w:p>
    <w:p w:rsidR="00976BBB" w:rsidRPr="00976BBB" w:rsidRDefault="00976BBB" w:rsidP="00976BBB">
      <w:pPr>
        <w:pStyle w:val="a6"/>
        <w:spacing w:line="360" w:lineRule="auto"/>
        <w:ind w:firstLine="709"/>
        <w:contextualSpacing/>
        <w:jc w:val="both"/>
      </w:pPr>
      <w:r w:rsidRPr="00976BBB">
        <w:t>Необходимо отметить, что иногда происходит разделение структуры управления по стратегическим хозяйственным центрам. В настоящее время центральным звеном децентрализованных ТНК становятся так называемые центры прибыли, которые являются самостоятельными структурными подразделениями компании. Данные центры осуществляют самостоятельный контроль соотношения затрат и выручки от реализации собственных услуг</w:t>
      </w:r>
      <w:r w:rsidRPr="00976BBB">
        <w:rPr>
          <w:rStyle w:val="a5"/>
          <w:rFonts w:eastAsiaTheme="majorEastAsia"/>
        </w:rPr>
        <w:footnoteReference w:id="6"/>
      </w:r>
      <w:r w:rsidRPr="00976BBB">
        <w:t>.</w:t>
      </w:r>
    </w:p>
    <w:p w:rsidR="00976BBB" w:rsidRPr="00976BBB" w:rsidRDefault="00976BBB" w:rsidP="00976BBB">
      <w:pPr>
        <w:pStyle w:val="a6"/>
        <w:spacing w:line="360" w:lineRule="auto"/>
        <w:ind w:firstLine="709"/>
        <w:contextualSpacing/>
        <w:jc w:val="both"/>
      </w:pPr>
      <w:r w:rsidRPr="00976BBB">
        <w:t>Существовавшая в течение многих лет централизация управления привела транснациональные компании к тому, что многие из них имеют вертикальную структуру управления с иерархичностью и возможностью передачи полномочий от высшего звена к низшему. Транснациональные корпорации с вертикальной интеграцией имеют возможность управлять не только основной деятельностью компании, но и связанными с ней сферами интересов на технологических стадиях производства.</w:t>
      </w:r>
    </w:p>
    <w:p w:rsidR="00976BBB" w:rsidRPr="00976BBB" w:rsidRDefault="00976BBB" w:rsidP="00976BBB">
      <w:pPr>
        <w:pStyle w:val="a6"/>
        <w:spacing w:line="360" w:lineRule="auto"/>
        <w:ind w:firstLine="709"/>
        <w:contextualSpacing/>
        <w:jc w:val="both"/>
      </w:pPr>
      <w:r w:rsidRPr="00976BBB">
        <w:lastRenderedPageBreak/>
        <w:t>В последнее время происходит модернизация управления ТНК, связанное с развитием техники и науки. Происходит компьютеризация функций. Используя современное оборудование и современные способы передачи данных, транснациональные корпорации могут оперативно реагировать и решать возникшие проблемы внутри компании. В процессе приспособления к новым условиям хозяйствования организационные формы корпораций могут меняться.</w:t>
      </w:r>
    </w:p>
    <w:p w:rsidR="00976BBB" w:rsidRPr="00976BBB" w:rsidRDefault="00976BBB" w:rsidP="00976BBB">
      <w:pPr>
        <w:pStyle w:val="a6"/>
        <w:spacing w:line="360" w:lineRule="auto"/>
        <w:ind w:firstLine="709"/>
        <w:contextualSpacing/>
        <w:jc w:val="both"/>
      </w:pPr>
    </w:p>
    <w:p w:rsidR="009B29C9" w:rsidRPr="00976BBB" w:rsidRDefault="00976BBB" w:rsidP="00976BBB">
      <w:pPr>
        <w:jc w:val="center"/>
        <w:rPr>
          <w:rFonts w:ascii="Times New Roman" w:hAnsi="Times New Roman" w:cs="Times New Roman"/>
          <w:sz w:val="24"/>
          <w:szCs w:val="24"/>
        </w:rPr>
      </w:pPr>
      <w:r w:rsidRPr="00976BBB">
        <w:rPr>
          <w:rFonts w:ascii="Times New Roman" w:hAnsi="Times New Roman" w:cs="Times New Roman"/>
          <w:sz w:val="24"/>
          <w:szCs w:val="24"/>
        </w:rPr>
        <w:t>Список литературы:</w:t>
      </w:r>
    </w:p>
    <w:p w:rsidR="00976BBB" w:rsidRPr="00976BBB" w:rsidRDefault="00976BBB" w:rsidP="00976BBB">
      <w:pPr>
        <w:pStyle w:val="a3"/>
        <w:numPr>
          <w:ilvl w:val="0"/>
          <w:numId w:val="3"/>
        </w:numPr>
        <w:spacing w:line="360" w:lineRule="auto"/>
        <w:jc w:val="both"/>
        <w:rPr>
          <w:rFonts w:ascii="Times New Roman" w:hAnsi="Times New Roman"/>
          <w:sz w:val="24"/>
          <w:szCs w:val="24"/>
        </w:rPr>
      </w:pPr>
      <w:r w:rsidRPr="00976BBB">
        <w:rPr>
          <w:rFonts w:ascii="Times New Roman" w:hAnsi="Times New Roman"/>
          <w:sz w:val="24"/>
          <w:szCs w:val="24"/>
        </w:rPr>
        <w:t>Чернова В.Ю. Сущность и развитие ТНК через призму экономической теории [Электронный ресурс] / В.Ю. Чернова. – М., 2016 – Режим доступа: https://research-journal.org/economical/sushhnost-i-razvitie-tnk-cherez-prizmu-evolyucionnoj-ekonomicheskoj-teorii/</w:t>
      </w:r>
    </w:p>
    <w:p w:rsidR="00976BBB" w:rsidRPr="00976BBB" w:rsidRDefault="00976BBB" w:rsidP="00976BBB">
      <w:pPr>
        <w:pStyle w:val="a3"/>
        <w:numPr>
          <w:ilvl w:val="0"/>
          <w:numId w:val="3"/>
        </w:numPr>
        <w:spacing w:line="360" w:lineRule="auto"/>
        <w:jc w:val="both"/>
        <w:rPr>
          <w:rFonts w:ascii="Times New Roman" w:hAnsi="Times New Roman"/>
          <w:sz w:val="24"/>
          <w:szCs w:val="24"/>
        </w:rPr>
      </w:pPr>
      <w:r w:rsidRPr="00976BBB">
        <w:rPr>
          <w:rFonts w:ascii="Times New Roman" w:hAnsi="Times New Roman"/>
          <w:sz w:val="24"/>
          <w:szCs w:val="24"/>
        </w:rPr>
        <w:t>Чернова В.Ю. Развитие ТНК через призму эволюционной экономической теории  [Электронный ресурс] / В.Ю. Чернова. – М., 2016 – Режим доступа: https://research-journal.org/economical/sushhnost-i-razvitie-tnk-cherez-prizmu-evolyucionnoj-ekonomicheskoj-teorii/</w:t>
      </w:r>
    </w:p>
    <w:p w:rsidR="00976BBB" w:rsidRPr="00976BBB" w:rsidRDefault="00976BBB" w:rsidP="00976BBB">
      <w:pPr>
        <w:pStyle w:val="a3"/>
        <w:numPr>
          <w:ilvl w:val="0"/>
          <w:numId w:val="3"/>
        </w:numPr>
        <w:spacing w:line="360" w:lineRule="auto"/>
        <w:jc w:val="both"/>
        <w:rPr>
          <w:rFonts w:ascii="Times New Roman" w:hAnsi="Times New Roman"/>
          <w:sz w:val="24"/>
          <w:szCs w:val="24"/>
        </w:rPr>
      </w:pPr>
      <w:proofErr w:type="spellStart"/>
      <w:r w:rsidRPr="00976BBB">
        <w:rPr>
          <w:rFonts w:ascii="Times New Roman" w:hAnsi="Times New Roman"/>
          <w:sz w:val="24"/>
          <w:szCs w:val="24"/>
        </w:rPr>
        <w:t>Бузулукова</w:t>
      </w:r>
      <w:proofErr w:type="spellEnd"/>
      <w:r w:rsidRPr="00976BBB">
        <w:rPr>
          <w:rFonts w:ascii="Times New Roman" w:hAnsi="Times New Roman"/>
          <w:sz w:val="24"/>
          <w:szCs w:val="24"/>
        </w:rPr>
        <w:t xml:space="preserve"> Е.В. Особенности управления транснациональными корпорациями в России [Текст]: автореферат диссертации на соискание ученой степени кандидата экономических наук / Е.В. </w:t>
      </w:r>
      <w:proofErr w:type="spellStart"/>
      <w:r w:rsidRPr="00976BBB">
        <w:rPr>
          <w:rFonts w:ascii="Times New Roman" w:hAnsi="Times New Roman"/>
          <w:sz w:val="24"/>
          <w:szCs w:val="24"/>
        </w:rPr>
        <w:t>Бузулукова</w:t>
      </w:r>
      <w:proofErr w:type="spellEnd"/>
      <w:r w:rsidRPr="00976BBB">
        <w:rPr>
          <w:rFonts w:ascii="Times New Roman" w:hAnsi="Times New Roman"/>
          <w:sz w:val="24"/>
          <w:szCs w:val="24"/>
        </w:rPr>
        <w:t>. – М.: 2012. – 11 с.</w:t>
      </w:r>
    </w:p>
    <w:p w:rsidR="00976BBB" w:rsidRPr="00976BBB" w:rsidRDefault="00976BBB" w:rsidP="00976BBB">
      <w:pPr>
        <w:pStyle w:val="a3"/>
        <w:numPr>
          <w:ilvl w:val="0"/>
          <w:numId w:val="3"/>
        </w:numPr>
        <w:spacing w:line="360" w:lineRule="auto"/>
        <w:jc w:val="both"/>
        <w:rPr>
          <w:rFonts w:ascii="Times New Roman" w:hAnsi="Times New Roman"/>
          <w:sz w:val="24"/>
          <w:szCs w:val="24"/>
        </w:rPr>
      </w:pPr>
      <w:r w:rsidRPr="00976BBB">
        <w:rPr>
          <w:rFonts w:ascii="Times New Roman" w:hAnsi="Times New Roman"/>
          <w:sz w:val="24"/>
          <w:szCs w:val="24"/>
        </w:rPr>
        <w:t>Цит. по: Смагина В.И. Понятие и сущность ТНК [Электронный ресурс] – М., 2016 – Режим доступа:</w:t>
      </w:r>
      <w:r w:rsidRPr="00976BBB">
        <w:rPr>
          <w:rFonts w:ascii="Times New Roman" w:hAnsi="Times New Roman"/>
          <w:sz w:val="24"/>
          <w:szCs w:val="24"/>
          <w:shd w:val="clear" w:color="auto" w:fill="FFFFFF"/>
        </w:rPr>
        <w:t xml:space="preserve"> https://cyberleninka.ru/article/n/ponyatie-i-suschnost-tnk.pdf</w:t>
      </w:r>
    </w:p>
    <w:p w:rsidR="00976BBB" w:rsidRPr="00976BBB" w:rsidRDefault="00976BBB" w:rsidP="00976BBB">
      <w:pPr>
        <w:pStyle w:val="a3"/>
        <w:numPr>
          <w:ilvl w:val="0"/>
          <w:numId w:val="3"/>
        </w:numPr>
        <w:spacing w:line="360" w:lineRule="auto"/>
        <w:rPr>
          <w:rFonts w:ascii="Times New Roman" w:hAnsi="Times New Roman"/>
          <w:sz w:val="24"/>
          <w:szCs w:val="24"/>
        </w:rPr>
      </w:pPr>
      <w:r w:rsidRPr="00976BBB">
        <w:rPr>
          <w:rFonts w:ascii="Times New Roman" w:hAnsi="Times New Roman"/>
          <w:sz w:val="24"/>
          <w:szCs w:val="24"/>
        </w:rPr>
        <w:t>Кукушкина Ю.М. Глобальные цепочки создания стоимости и корпоративные интересы транснациональных корпораций [Текст]: сборник статей / Ю.М. Кукушкина – М. 2016. – С. 107-117</w:t>
      </w:r>
    </w:p>
    <w:p w:rsidR="00976BBB" w:rsidRPr="00976BBB" w:rsidRDefault="00976BBB" w:rsidP="00976BBB">
      <w:pPr>
        <w:pStyle w:val="a3"/>
        <w:numPr>
          <w:ilvl w:val="0"/>
          <w:numId w:val="3"/>
        </w:numPr>
        <w:spacing w:line="360" w:lineRule="auto"/>
        <w:jc w:val="both"/>
        <w:rPr>
          <w:rFonts w:ascii="Times New Roman" w:hAnsi="Times New Roman"/>
          <w:sz w:val="24"/>
          <w:szCs w:val="24"/>
        </w:rPr>
      </w:pPr>
      <w:proofErr w:type="spellStart"/>
      <w:r w:rsidRPr="00976BBB">
        <w:rPr>
          <w:rFonts w:ascii="Times New Roman" w:hAnsi="Times New Roman"/>
          <w:sz w:val="24"/>
          <w:szCs w:val="24"/>
        </w:rPr>
        <w:t>Сукиасян</w:t>
      </w:r>
      <w:proofErr w:type="spellEnd"/>
      <w:r w:rsidRPr="00976BBB">
        <w:rPr>
          <w:rFonts w:ascii="Times New Roman" w:hAnsi="Times New Roman"/>
          <w:sz w:val="24"/>
          <w:szCs w:val="24"/>
        </w:rPr>
        <w:t xml:space="preserve"> А.А. Совершенствование методологии познания в целях развития науки [Текст]: сборник статей Международной научно-практической конференции / А.А. </w:t>
      </w:r>
      <w:proofErr w:type="spellStart"/>
      <w:r w:rsidRPr="00976BBB">
        <w:rPr>
          <w:rFonts w:ascii="Times New Roman" w:hAnsi="Times New Roman"/>
          <w:sz w:val="24"/>
          <w:szCs w:val="24"/>
        </w:rPr>
        <w:t>Сукиасян</w:t>
      </w:r>
      <w:proofErr w:type="spellEnd"/>
      <w:r w:rsidRPr="00976BBB">
        <w:rPr>
          <w:rFonts w:ascii="Times New Roman" w:hAnsi="Times New Roman"/>
          <w:sz w:val="24"/>
          <w:szCs w:val="24"/>
        </w:rPr>
        <w:t xml:space="preserve">. – Уфа.: </w:t>
      </w:r>
      <w:proofErr w:type="spellStart"/>
      <w:r w:rsidRPr="00976BBB">
        <w:rPr>
          <w:rFonts w:ascii="Times New Roman" w:hAnsi="Times New Roman"/>
          <w:sz w:val="24"/>
          <w:szCs w:val="24"/>
        </w:rPr>
        <w:t>Аэтерна</w:t>
      </w:r>
      <w:proofErr w:type="spellEnd"/>
      <w:r w:rsidRPr="00976BBB">
        <w:rPr>
          <w:rFonts w:ascii="Times New Roman" w:hAnsi="Times New Roman"/>
          <w:sz w:val="24"/>
          <w:szCs w:val="24"/>
        </w:rPr>
        <w:t>, 2017. – С. 21-48</w:t>
      </w:r>
    </w:p>
    <w:p w:rsidR="00976BBB" w:rsidRPr="00976BBB" w:rsidRDefault="00976BBB" w:rsidP="00976BBB">
      <w:pPr>
        <w:pStyle w:val="aa"/>
        <w:spacing w:line="360" w:lineRule="auto"/>
        <w:rPr>
          <w:rFonts w:ascii="Times New Roman" w:hAnsi="Times New Roman" w:cs="Times New Roman"/>
          <w:sz w:val="24"/>
          <w:szCs w:val="24"/>
        </w:rPr>
      </w:pPr>
    </w:p>
    <w:p w:rsidR="00976BBB" w:rsidRPr="00976BBB" w:rsidRDefault="00976BBB" w:rsidP="00976BBB">
      <w:pPr>
        <w:jc w:val="center"/>
        <w:rPr>
          <w:rFonts w:ascii="Times New Roman" w:hAnsi="Times New Roman" w:cs="Times New Roman"/>
          <w:sz w:val="24"/>
          <w:szCs w:val="24"/>
        </w:rPr>
      </w:pPr>
    </w:p>
    <w:sectPr w:rsidR="00976BBB" w:rsidRPr="00976BBB" w:rsidSect="001D33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A04" w:rsidRDefault="00C71A04" w:rsidP="00976BBB">
      <w:pPr>
        <w:spacing w:after="0" w:line="240" w:lineRule="auto"/>
      </w:pPr>
      <w:r>
        <w:separator/>
      </w:r>
    </w:p>
  </w:endnote>
  <w:endnote w:type="continuationSeparator" w:id="0">
    <w:p w:rsidR="00C71A04" w:rsidRDefault="00C71A04" w:rsidP="00976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A04" w:rsidRDefault="00C71A04" w:rsidP="00976BBB">
      <w:pPr>
        <w:spacing w:after="0" w:line="240" w:lineRule="auto"/>
      </w:pPr>
      <w:r>
        <w:separator/>
      </w:r>
    </w:p>
  </w:footnote>
  <w:footnote w:type="continuationSeparator" w:id="0">
    <w:p w:rsidR="00C71A04" w:rsidRDefault="00C71A04" w:rsidP="00976BBB">
      <w:pPr>
        <w:spacing w:after="0" w:line="240" w:lineRule="auto"/>
      </w:pPr>
      <w:r>
        <w:continuationSeparator/>
      </w:r>
    </w:p>
  </w:footnote>
  <w:footnote w:id="1">
    <w:p w:rsidR="00976BBB" w:rsidRPr="005C552A" w:rsidRDefault="00976BBB" w:rsidP="00976BBB">
      <w:pPr>
        <w:pStyle w:val="a3"/>
        <w:jc w:val="both"/>
      </w:pPr>
      <w:r w:rsidRPr="00E6779E">
        <w:rPr>
          <w:rStyle w:val="a5"/>
          <w:sz w:val="24"/>
        </w:rPr>
        <w:footnoteRef/>
      </w:r>
      <w:r w:rsidRPr="00E6779E">
        <w:rPr>
          <w:rFonts w:ascii="Times New Roman" w:hAnsi="Times New Roman"/>
          <w:sz w:val="24"/>
        </w:rPr>
        <w:t>Чернова В.Ю. Сущность и развитие ТНК через призму экономической теории</w:t>
      </w:r>
      <w:r>
        <w:rPr>
          <w:rFonts w:ascii="Times New Roman" w:hAnsi="Times New Roman"/>
          <w:sz w:val="24"/>
        </w:rPr>
        <w:t xml:space="preserve"> </w:t>
      </w:r>
      <w:r w:rsidRPr="00603FD6">
        <w:rPr>
          <w:rFonts w:ascii="Times New Roman" w:hAnsi="Times New Roman"/>
          <w:sz w:val="24"/>
        </w:rPr>
        <w:t>[</w:t>
      </w:r>
      <w:r>
        <w:rPr>
          <w:rFonts w:ascii="Times New Roman" w:hAnsi="Times New Roman"/>
          <w:sz w:val="24"/>
        </w:rPr>
        <w:t>Электронный ресурс</w:t>
      </w:r>
      <w:r w:rsidRPr="00603FD6">
        <w:rPr>
          <w:rFonts w:ascii="Times New Roman" w:hAnsi="Times New Roman"/>
          <w:sz w:val="24"/>
        </w:rPr>
        <w:t>]</w:t>
      </w:r>
      <w:r>
        <w:rPr>
          <w:rFonts w:ascii="Times New Roman" w:hAnsi="Times New Roman"/>
          <w:sz w:val="24"/>
        </w:rPr>
        <w:t xml:space="preserve"> / В.Ю. Чернова. – М., 2016 – Режим доступа: </w:t>
      </w:r>
      <w:r w:rsidRPr="00E6779E">
        <w:rPr>
          <w:rFonts w:ascii="Times New Roman" w:hAnsi="Times New Roman"/>
          <w:sz w:val="24"/>
        </w:rPr>
        <w:t>https://research-journal.org/economical/sushhnost-i-razvitie-tnk-cherez-prizmu-evolyucionnoj-ekonomicheskoj-teorii/</w:t>
      </w:r>
    </w:p>
  </w:footnote>
  <w:footnote w:id="2">
    <w:p w:rsidR="00976BBB" w:rsidRPr="00E6779E" w:rsidRDefault="00976BBB" w:rsidP="00976BBB">
      <w:pPr>
        <w:pStyle w:val="a3"/>
        <w:jc w:val="both"/>
        <w:rPr>
          <w:sz w:val="24"/>
        </w:rPr>
      </w:pPr>
      <w:r w:rsidRPr="00E6779E">
        <w:rPr>
          <w:rStyle w:val="a5"/>
          <w:sz w:val="24"/>
        </w:rPr>
        <w:footnoteRef/>
      </w:r>
      <w:r w:rsidRPr="00E6779E">
        <w:rPr>
          <w:rFonts w:ascii="Times New Roman" w:hAnsi="Times New Roman"/>
          <w:sz w:val="24"/>
        </w:rPr>
        <w:t>Чернова В.Ю. Развитие ТНК через призму эволюционной экономической теории</w:t>
      </w:r>
      <w:r>
        <w:rPr>
          <w:rFonts w:ascii="Times New Roman" w:hAnsi="Times New Roman"/>
          <w:sz w:val="24"/>
        </w:rPr>
        <w:t xml:space="preserve"> </w:t>
      </w:r>
      <w:r w:rsidRPr="00E6779E">
        <w:rPr>
          <w:rFonts w:ascii="Times New Roman" w:hAnsi="Times New Roman"/>
          <w:sz w:val="24"/>
        </w:rPr>
        <w:t xml:space="preserve"> </w:t>
      </w:r>
      <w:r w:rsidRPr="00C54987">
        <w:rPr>
          <w:rFonts w:ascii="Times New Roman" w:hAnsi="Times New Roman"/>
          <w:sz w:val="24"/>
        </w:rPr>
        <w:t>[Электронный ресурс]</w:t>
      </w:r>
      <w:r>
        <w:rPr>
          <w:rFonts w:ascii="Times New Roman" w:hAnsi="Times New Roman"/>
          <w:sz w:val="24"/>
        </w:rPr>
        <w:t xml:space="preserve"> / В.Ю. Чернова.</w:t>
      </w:r>
      <w:r w:rsidRPr="00C54987">
        <w:rPr>
          <w:rFonts w:ascii="Times New Roman" w:hAnsi="Times New Roman"/>
          <w:sz w:val="24"/>
        </w:rPr>
        <w:t xml:space="preserve"> – М., 2016 –</w:t>
      </w:r>
      <w:r>
        <w:rPr>
          <w:rFonts w:ascii="Times New Roman" w:hAnsi="Times New Roman"/>
          <w:sz w:val="24"/>
        </w:rPr>
        <w:t xml:space="preserve"> </w:t>
      </w:r>
      <w:r w:rsidRPr="00E6779E">
        <w:rPr>
          <w:rFonts w:ascii="Times New Roman" w:hAnsi="Times New Roman"/>
          <w:sz w:val="24"/>
        </w:rPr>
        <w:t>Режим доступа</w:t>
      </w:r>
      <w:r>
        <w:rPr>
          <w:rFonts w:ascii="Times New Roman" w:hAnsi="Times New Roman"/>
          <w:sz w:val="24"/>
        </w:rPr>
        <w:t xml:space="preserve">: </w:t>
      </w:r>
      <w:r w:rsidRPr="00E6779E">
        <w:rPr>
          <w:rFonts w:ascii="Times New Roman" w:hAnsi="Times New Roman"/>
          <w:sz w:val="24"/>
        </w:rPr>
        <w:t>https://research-journal.org/economical/sushhnost-i-razvitie-tnk-cherez-prizmu-evolyucionnoj-ekonomicheskoj-teorii/</w:t>
      </w:r>
    </w:p>
  </w:footnote>
  <w:footnote w:id="3">
    <w:p w:rsidR="00976BBB" w:rsidRPr="005C552A" w:rsidRDefault="00976BBB" w:rsidP="00976BBB">
      <w:pPr>
        <w:pStyle w:val="a3"/>
        <w:jc w:val="both"/>
      </w:pPr>
      <w:r w:rsidRPr="00E6779E">
        <w:rPr>
          <w:rStyle w:val="a5"/>
          <w:sz w:val="24"/>
        </w:rPr>
        <w:footnoteRef/>
      </w:r>
      <w:proofErr w:type="spellStart"/>
      <w:r w:rsidRPr="00E6779E">
        <w:rPr>
          <w:rFonts w:ascii="Times New Roman" w:hAnsi="Times New Roman"/>
          <w:sz w:val="24"/>
        </w:rPr>
        <w:t>Бузулукова</w:t>
      </w:r>
      <w:proofErr w:type="spellEnd"/>
      <w:r w:rsidRPr="00E6779E">
        <w:rPr>
          <w:rFonts w:ascii="Times New Roman" w:hAnsi="Times New Roman"/>
          <w:sz w:val="24"/>
        </w:rPr>
        <w:t xml:space="preserve"> Е.В. Особенности управления транснаци</w:t>
      </w:r>
      <w:r>
        <w:rPr>
          <w:rFonts w:ascii="Times New Roman" w:hAnsi="Times New Roman"/>
          <w:sz w:val="24"/>
        </w:rPr>
        <w:t xml:space="preserve">ональными корпорациями в России </w:t>
      </w:r>
      <w:r w:rsidRPr="00A154A8">
        <w:rPr>
          <w:rFonts w:ascii="Times New Roman" w:hAnsi="Times New Roman"/>
          <w:sz w:val="24"/>
        </w:rPr>
        <w:t>[Текст]</w:t>
      </w:r>
      <w:r>
        <w:rPr>
          <w:rFonts w:ascii="Times New Roman" w:hAnsi="Times New Roman"/>
          <w:sz w:val="24"/>
        </w:rPr>
        <w:t>: а</w:t>
      </w:r>
      <w:r w:rsidRPr="00E6779E">
        <w:rPr>
          <w:rFonts w:ascii="Times New Roman" w:hAnsi="Times New Roman"/>
          <w:sz w:val="24"/>
        </w:rPr>
        <w:t>втореферат диссертации на соискание ученой степени кандидата экономических наук</w:t>
      </w:r>
      <w:r>
        <w:rPr>
          <w:rFonts w:ascii="Times New Roman" w:hAnsi="Times New Roman"/>
          <w:sz w:val="24"/>
        </w:rPr>
        <w:t xml:space="preserve"> / Е.В. </w:t>
      </w:r>
      <w:proofErr w:type="spellStart"/>
      <w:r>
        <w:rPr>
          <w:rFonts w:ascii="Times New Roman" w:hAnsi="Times New Roman"/>
          <w:sz w:val="24"/>
        </w:rPr>
        <w:t>Бузулукова</w:t>
      </w:r>
      <w:proofErr w:type="spellEnd"/>
      <w:r w:rsidRPr="00E6779E">
        <w:rPr>
          <w:rFonts w:ascii="Times New Roman" w:hAnsi="Times New Roman"/>
          <w:sz w:val="24"/>
        </w:rPr>
        <w:t>.</w:t>
      </w:r>
      <w:r>
        <w:rPr>
          <w:rFonts w:ascii="Times New Roman" w:hAnsi="Times New Roman"/>
          <w:sz w:val="24"/>
        </w:rPr>
        <w:t xml:space="preserve"> –</w:t>
      </w:r>
      <w:r w:rsidRPr="00E6779E">
        <w:rPr>
          <w:rFonts w:ascii="Times New Roman" w:hAnsi="Times New Roman"/>
          <w:sz w:val="24"/>
        </w:rPr>
        <w:t xml:space="preserve"> М.:</w:t>
      </w:r>
      <w:r>
        <w:rPr>
          <w:rFonts w:ascii="Times New Roman" w:hAnsi="Times New Roman"/>
          <w:sz w:val="24"/>
        </w:rPr>
        <w:t xml:space="preserve"> 2012</w:t>
      </w:r>
      <w:r w:rsidRPr="00E6779E">
        <w:rPr>
          <w:rFonts w:ascii="Times New Roman" w:hAnsi="Times New Roman"/>
          <w:sz w:val="24"/>
        </w:rPr>
        <w:t>.</w:t>
      </w:r>
      <w:r>
        <w:rPr>
          <w:rFonts w:ascii="Times New Roman" w:hAnsi="Times New Roman"/>
          <w:sz w:val="24"/>
        </w:rPr>
        <w:t xml:space="preserve"> – 11</w:t>
      </w:r>
      <w:r w:rsidRPr="00BD42A3">
        <w:rPr>
          <w:rFonts w:ascii="Times New Roman" w:hAnsi="Times New Roman"/>
          <w:sz w:val="24"/>
        </w:rPr>
        <w:t xml:space="preserve"> </w:t>
      </w:r>
      <w:r>
        <w:rPr>
          <w:rFonts w:ascii="Times New Roman" w:hAnsi="Times New Roman"/>
          <w:sz w:val="24"/>
        </w:rPr>
        <w:t>с.</w:t>
      </w:r>
    </w:p>
  </w:footnote>
  <w:footnote w:id="4">
    <w:p w:rsidR="00976BBB" w:rsidRDefault="00976BBB" w:rsidP="00976BBB">
      <w:pPr>
        <w:pStyle w:val="a3"/>
        <w:jc w:val="both"/>
      </w:pPr>
      <w:r w:rsidRPr="001F3489">
        <w:rPr>
          <w:rStyle w:val="a5"/>
          <w:sz w:val="24"/>
        </w:rPr>
        <w:footnoteRef/>
      </w:r>
      <w:r>
        <w:rPr>
          <w:rFonts w:ascii="Times New Roman" w:hAnsi="Times New Roman"/>
          <w:sz w:val="24"/>
          <w:szCs w:val="24"/>
        </w:rPr>
        <w:t xml:space="preserve">Цит. по: </w:t>
      </w:r>
      <w:r w:rsidRPr="004823AD">
        <w:rPr>
          <w:rFonts w:ascii="Times New Roman" w:hAnsi="Times New Roman"/>
          <w:sz w:val="24"/>
          <w:szCs w:val="24"/>
        </w:rPr>
        <w:t>Смаг</w:t>
      </w:r>
      <w:r>
        <w:rPr>
          <w:rFonts w:ascii="Times New Roman" w:hAnsi="Times New Roman"/>
          <w:sz w:val="24"/>
          <w:szCs w:val="24"/>
        </w:rPr>
        <w:t>ина В.И. Понятие и сущность ТНК</w:t>
      </w:r>
      <w:r w:rsidRPr="00C54987">
        <w:rPr>
          <w:rFonts w:ascii="Times New Roman" w:hAnsi="Times New Roman"/>
          <w:sz w:val="24"/>
          <w:szCs w:val="24"/>
        </w:rPr>
        <w:t xml:space="preserve"> [</w:t>
      </w:r>
      <w:r>
        <w:rPr>
          <w:rFonts w:ascii="Times New Roman" w:hAnsi="Times New Roman"/>
          <w:sz w:val="24"/>
          <w:szCs w:val="24"/>
        </w:rPr>
        <w:t>Электронный ресурс</w:t>
      </w:r>
      <w:r w:rsidRPr="00C54987">
        <w:rPr>
          <w:rFonts w:ascii="Times New Roman" w:hAnsi="Times New Roman"/>
          <w:sz w:val="24"/>
          <w:szCs w:val="24"/>
        </w:rPr>
        <w:t>]</w:t>
      </w:r>
      <w:r>
        <w:rPr>
          <w:rFonts w:ascii="Times New Roman" w:hAnsi="Times New Roman"/>
          <w:sz w:val="24"/>
          <w:szCs w:val="24"/>
        </w:rPr>
        <w:t xml:space="preserve"> – М., 2016 – Режим доступа:</w:t>
      </w:r>
      <w:r w:rsidRPr="004823AD">
        <w:rPr>
          <w:rFonts w:ascii="Times New Roman" w:hAnsi="Times New Roman"/>
          <w:sz w:val="24"/>
          <w:szCs w:val="24"/>
          <w:shd w:val="clear" w:color="auto" w:fill="FFFFFF"/>
        </w:rPr>
        <w:t xml:space="preserve"> https://cyberleninka.ru/article/n/ponyatie-i-suschnost-tnk.pdf</w:t>
      </w:r>
    </w:p>
  </w:footnote>
  <w:footnote w:id="5">
    <w:p w:rsidR="00976BBB" w:rsidRPr="001D0D17" w:rsidRDefault="00976BBB" w:rsidP="00976BBB">
      <w:pPr>
        <w:pStyle w:val="a3"/>
        <w:rPr>
          <w:rFonts w:ascii="Times New Roman" w:hAnsi="Times New Roman"/>
          <w:sz w:val="24"/>
        </w:rPr>
      </w:pPr>
      <w:r w:rsidRPr="001D0D17">
        <w:rPr>
          <w:rStyle w:val="a5"/>
          <w:rFonts w:ascii="Times New Roman" w:hAnsi="Times New Roman"/>
          <w:sz w:val="24"/>
        </w:rPr>
        <w:footnoteRef/>
      </w:r>
      <w:r>
        <w:rPr>
          <w:rFonts w:ascii="Times New Roman" w:hAnsi="Times New Roman"/>
          <w:sz w:val="24"/>
        </w:rPr>
        <w:t xml:space="preserve">Кукушкина Ю.М. </w:t>
      </w:r>
      <w:r w:rsidRPr="001D0D17">
        <w:rPr>
          <w:rFonts w:ascii="Times New Roman" w:hAnsi="Times New Roman"/>
          <w:sz w:val="24"/>
        </w:rPr>
        <w:t>Глобальные цепочки создания стоимости и корпоративные интер</w:t>
      </w:r>
      <w:r>
        <w:rPr>
          <w:rFonts w:ascii="Times New Roman" w:hAnsi="Times New Roman"/>
          <w:sz w:val="24"/>
        </w:rPr>
        <w:t xml:space="preserve">есы транснациональных корпораций </w:t>
      </w:r>
      <w:r w:rsidRPr="00A154A8">
        <w:rPr>
          <w:rFonts w:ascii="Times New Roman" w:hAnsi="Times New Roman"/>
          <w:sz w:val="24"/>
        </w:rPr>
        <w:t>[Текст]</w:t>
      </w:r>
      <w:r>
        <w:rPr>
          <w:rFonts w:ascii="Times New Roman" w:hAnsi="Times New Roman"/>
          <w:sz w:val="24"/>
        </w:rPr>
        <w:t>: сборник статей / Ю.М. Кукушкина – М. 2016. – С. 107-117</w:t>
      </w:r>
    </w:p>
  </w:footnote>
  <w:footnote w:id="6">
    <w:p w:rsidR="00976BBB" w:rsidRPr="005C552A" w:rsidRDefault="00976BBB" w:rsidP="00976BBB">
      <w:pPr>
        <w:pStyle w:val="a3"/>
        <w:jc w:val="both"/>
      </w:pPr>
      <w:r w:rsidRPr="00E6779E">
        <w:rPr>
          <w:rStyle w:val="a5"/>
          <w:sz w:val="24"/>
        </w:rPr>
        <w:footnoteRef/>
      </w:r>
      <w:proofErr w:type="spellStart"/>
      <w:r>
        <w:rPr>
          <w:rFonts w:ascii="Times New Roman" w:hAnsi="Times New Roman"/>
          <w:sz w:val="24"/>
        </w:rPr>
        <w:t>Сукиасян</w:t>
      </w:r>
      <w:proofErr w:type="spellEnd"/>
      <w:r>
        <w:rPr>
          <w:rFonts w:ascii="Times New Roman" w:hAnsi="Times New Roman"/>
          <w:sz w:val="24"/>
        </w:rPr>
        <w:t xml:space="preserve"> А.А. </w:t>
      </w:r>
      <w:r w:rsidRPr="00E6779E">
        <w:rPr>
          <w:rFonts w:ascii="Times New Roman" w:hAnsi="Times New Roman"/>
          <w:sz w:val="24"/>
        </w:rPr>
        <w:t xml:space="preserve">Совершенствование методологии </w:t>
      </w:r>
      <w:r>
        <w:rPr>
          <w:rFonts w:ascii="Times New Roman" w:hAnsi="Times New Roman"/>
          <w:sz w:val="24"/>
        </w:rPr>
        <w:t xml:space="preserve">познания в целях развития науки </w:t>
      </w:r>
      <w:r w:rsidRPr="00A154A8">
        <w:rPr>
          <w:rFonts w:ascii="Times New Roman" w:hAnsi="Times New Roman"/>
          <w:sz w:val="24"/>
        </w:rPr>
        <w:t>[Текст]</w:t>
      </w:r>
      <w:r>
        <w:rPr>
          <w:rFonts w:ascii="Times New Roman" w:hAnsi="Times New Roman"/>
          <w:sz w:val="24"/>
        </w:rPr>
        <w:t>: с</w:t>
      </w:r>
      <w:r w:rsidRPr="00E6779E">
        <w:rPr>
          <w:rFonts w:ascii="Times New Roman" w:hAnsi="Times New Roman"/>
          <w:sz w:val="24"/>
        </w:rPr>
        <w:t xml:space="preserve">борник </w:t>
      </w:r>
      <w:r w:rsidRPr="00BC4F24">
        <w:rPr>
          <w:rFonts w:ascii="Times New Roman" w:hAnsi="Times New Roman"/>
          <w:sz w:val="24"/>
        </w:rPr>
        <w:t>статей</w:t>
      </w:r>
      <w:r>
        <w:rPr>
          <w:rFonts w:ascii="Times New Roman" w:hAnsi="Times New Roman"/>
          <w:sz w:val="24"/>
        </w:rPr>
        <w:t xml:space="preserve"> </w:t>
      </w:r>
      <w:r w:rsidRPr="00BC4F24">
        <w:rPr>
          <w:rFonts w:ascii="Times New Roman" w:hAnsi="Times New Roman"/>
          <w:sz w:val="24"/>
        </w:rPr>
        <w:t>Международной на</w:t>
      </w:r>
      <w:r>
        <w:rPr>
          <w:rFonts w:ascii="Times New Roman" w:hAnsi="Times New Roman"/>
          <w:sz w:val="24"/>
        </w:rPr>
        <w:t xml:space="preserve">учно-практической конференции / А.А. </w:t>
      </w:r>
      <w:proofErr w:type="spellStart"/>
      <w:r>
        <w:rPr>
          <w:rFonts w:ascii="Times New Roman" w:hAnsi="Times New Roman"/>
          <w:sz w:val="24"/>
        </w:rPr>
        <w:t>Сукиасян</w:t>
      </w:r>
      <w:proofErr w:type="spellEnd"/>
      <w:r>
        <w:rPr>
          <w:rFonts w:ascii="Times New Roman" w:hAnsi="Times New Roman"/>
          <w:sz w:val="24"/>
        </w:rPr>
        <w:t>. –</w:t>
      </w:r>
      <w:r w:rsidRPr="00E6779E">
        <w:rPr>
          <w:rFonts w:ascii="Times New Roman" w:hAnsi="Times New Roman"/>
          <w:sz w:val="24"/>
        </w:rPr>
        <w:t xml:space="preserve"> Уфа.</w:t>
      </w:r>
      <w:r>
        <w:rPr>
          <w:rFonts w:ascii="Times New Roman" w:hAnsi="Times New Roman"/>
          <w:sz w:val="24"/>
        </w:rPr>
        <w:t>:</w:t>
      </w:r>
      <w:r w:rsidRPr="00E6779E">
        <w:rPr>
          <w:rFonts w:ascii="Times New Roman" w:hAnsi="Times New Roman"/>
          <w:sz w:val="24"/>
        </w:rPr>
        <w:t xml:space="preserve"> </w:t>
      </w:r>
      <w:proofErr w:type="spellStart"/>
      <w:r w:rsidRPr="00E6779E">
        <w:rPr>
          <w:rFonts w:ascii="Times New Roman" w:hAnsi="Times New Roman"/>
          <w:sz w:val="24"/>
        </w:rPr>
        <w:t>Аэтерна</w:t>
      </w:r>
      <w:proofErr w:type="spellEnd"/>
      <w:r w:rsidRPr="00E6779E">
        <w:rPr>
          <w:rFonts w:ascii="Times New Roman" w:hAnsi="Times New Roman"/>
          <w:sz w:val="24"/>
        </w:rPr>
        <w:t>,</w:t>
      </w:r>
      <w:r>
        <w:rPr>
          <w:rFonts w:ascii="Times New Roman" w:hAnsi="Times New Roman"/>
          <w:sz w:val="24"/>
        </w:rPr>
        <w:t xml:space="preserve"> </w:t>
      </w:r>
      <w:r w:rsidRPr="00E6779E">
        <w:rPr>
          <w:rFonts w:ascii="Times New Roman" w:hAnsi="Times New Roman"/>
          <w:sz w:val="24"/>
        </w:rPr>
        <w:t>2017.</w:t>
      </w:r>
      <w:r>
        <w:rPr>
          <w:rFonts w:ascii="Times New Roman" w:hAnsi="Times New Roman"/>
          <w:sz w:val="24"/>
        </w:rPr>
        <w:t xml:space="preserve"> – С</w:t>
      </w:r>
      <w:r w:rsidRPr="00E6779E">
        <w:rPr>
          <w:rFonts w:ascii="Times New Roman" w:hAnsi="Times New Roman"/>
          <w:sz w:val="24"/>
        </w:rPr>
        <w:t>.</w:t>
      </w:r>
      <w:r>
        <w:rPr>
          <w:rFonts w:ascii="Times New Roman" w:hAnsi="Times New Roman"/>
          <w:sz w:val="24"/>
        </w:rPr>
        <w:t xml:space="preserve"> 21-48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030"/>
    <w:multiLevelType w:val="hybridMultilevel"/>
    <w:tmpl w:val="82045D72"/>
    <w:lvl w:ilvl="0" w:tplc="EAA66F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9352E8"/>
    <w:multiLevelType w:val="hybridMultilevel"/>
    <w:tmpl w:val="4F468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626ABE"/>
    <w:multiLevelType w:val="multilevel"/>
    <w:tmpl w:val="B052EB4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6BBB"/>
    <w:rsid w:val="000F632A"/>
    <w:rsid w:val="001D3314"/>
    <w:rsid w:val="00254FB6"/>
    <w:rsid w:val="005134F9"/>
    <w:rsid w:val="00591ACF"/>
    <w:rsid w:val="005D5EDF"/>
    <w:rsid w:val="00976BBB"/>
    <w:rsid w:val="009B29C9"/>
    <w:rsid w:val="00C0512B"/>
    <w:rsid w:val="00C71A04"/>
    <w:rsid w:val="00D23FCC"/>
    <w:rsid w:val="00F73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BB"/>
  </w:style>
  <w:style w:type="paragraph" w:styleId="2">
    <w:name w:val="heading 2"/>
    <w:basedOn w:val="a"/>
    <w:next w:val="a"/>
    <w:link w:val="20"/>
    <w:uiPriority w:val="9"/>
    <w:unhideWhenUsed/>
    <w:qFormat/>
    <w:rsid w:val="00976B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6BBB"/>
    <w:rPr>
      <w:rFonts w:asciiTheme="majorHAnsi" w:eastAsiaTheme="majorEastAsia" w:hAnsiTheme="majorHAnsi" w:cstheme="majorBidi"/>
      <w:b/>
      <w:bCs/>
      <w:color w:val="4F81BD" w:themeColor="accent1"/>
      <w:sz w:val="26"/>
      <w:szCs w:val="26"/>
    </w:rPr>
  </w:style>
  <w:style w:type="paragraph" w:styleId="a3">
    <w:name w:val="footnote text"/>
    <w:aliases w:val="Footnote Text Char,Table_Footnote_last Знак,Table_Footnote_last Знак Знак,Table_Footnote_last,Текст сноски Знак Знак1 Знак,Текст сноски Знак1 Знак1 Знак Знак,Текст сноски Знак Знак Знак1 Знак Знак"/>
    <w:basedOn w:val="a"/>
    <w:link w:val="a4"/>
    <w:unhideWhenUsed/>
    <w:rsid w:val="00976BBB"/>
    <w:pPr>
      <w:spacing w:after="0" w:line="240" w:lineRule="auto"/>
    </w:pPr>
    <w:rPr>
      <w:rFonts w:ascii="Calibri" w:eastAsia="Calibri" w:hAnsi="Calibri" w:cs="Times New Roman"/>
      <w:sz w:val="20"/>
      <w:szCs w:val="20"/>
    </w:rPr>
  </w:style>
  <w:style w:type="character" w:customStyle="1" w:styleId="a4">
    <w:name w:val="Текст сноски Знак"/>
    <w:aliases w:val="Footnote Text Char Знак,Table_Footnote_last Знак Знак1,Table_Footnote_last Знак Знак Знак,Table_Footnote_last Знак1,Текст сноски Знак Знак1 Знак Знак,Текст сноски Знак1 Знак1 Знак Знак Знак,Текст сноски Знак Знак Знак1 Знак Знак Знак"/>
    <w:basedOn w:val="a0"/>
    <w:link w:val="a3"/>
    <w:rsid w:val="00976BBB"/>
    <w:rPr>
      <w:rFonts w:ascii="Calibri" w:eastAsia="Calibri" w:hAnsi="Calibri" w:cs="Times New Roman"/>
      <w:sz w:val="20"/>
      <w:szCs w:val="20"/>
    </w:rPr>
  </w:style>
  <w:style w:type="character" w:styleId="a5">
    <w:name w:val="footnote reference"/>
    <w:aliases w:val="Знак сноски-FN,Ciae niinee-FN,Знак сноски 1,Referencia nota al pie"/>
    <w:unhideWhenUsed/>
    <w:rsid w:val="00976BBB"/>
    <w:rPr>
      <w:vertAlign w:val="superscript"/>
    </w:rPr>
  </w:style>
  <w:style w:type="paragraph" w:styleId="a6">
    <w:name w:val="Normal (Web)"/>
    <w:basedOn w:val="a"/>
    <w:uiPriority w:val="99"/>
    <w:unhideWhenUsed/>
    <w:rsid w:val="00976B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97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76B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6BBB"/>
    <w:rPr>
      <w:rFonts w:ascii="Tahoma" w:hAnsi="Tahoma" w:cs="Tahoma"/>
      <w:sz w:val="16"/>
      <w:szCs w:val="16"/>
    </w:rPr>
  </w:style>
  <w:style w:type="paragraph" w:styleId="aa">
    <w:name w:val="List Paragraph"/>
    <w:basedOn w:val="a"/>
    <w:uiPriority w:val="34"/>
    <w:qFormat/>
    <w:rsid w:val="00976B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BB"/>
  </w:style>
  <w:style w:type="paragraph" w:styleId="2">
    <w:name w:val="heading 2"/>
    <w:basedOn w:val="a"/>
    <w:next w:val="a"/>
    <w:link w:val="20"/>
    <w:uiPriority w:val="9"/>
    <w:unhideWhenUsed/>
    <w:qFormat/>
    <w:rsid w:val="00976B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6BBB"/>
    <w:rPr>
      <w:rFonts w:asciiTheme="majorHAnsi" w:eastAsiaTheme="majorEastAsia" w:hAnsiTheme="majorHAnsi" w:cstheme="majorBidi"/>
      <w:b/>
      <w:bCs/>
      <w:color w:val="4F81BD" w:themeColor="accent1"/>
      <w:sz w:val="26"/>
      <w:szCs w:val="26"/>
    </w:rPr>
  </w:style>
  <w:style w:type="paragraph" w:styleId="a3">
    <w:name w:val="footnote text"/>
    <w:aliases w:val="Footnote Text Char,Table_Footnote_last Знак,Table_Footnote_last Знак Знак,Table_Footnote_last,Текст сноски Знак Знак1 Знак,Текст сноски Знак1 Знак1 Знак Знак,Текст сноски Знак Знак Знак1 Знак Знак"/>
    <w:basedOn w:val="a"/>
    <w:link w:val="a4"/>
    <w:unhideWhenUsed/>
    <w:rsid w:val="00976BBB"/>
    <w:pPr>
      <w:spacing w:after="0" w:line="240" w:lineRule="auto"/>
    </w:pPr>
    <w:rPr>
      <w:rFonts w:ascii="Calibri" w:eastAsia="Calibri" w:hAnsi="Calibri" w:cs="Times New Roman"/>
      <w:sz w:val="20"/>
      <w:szCs w:val="20"/>
      <w:lang w:eastAsia="x-none"/>
    </w:rPr>
  </w:style>
  <w:style w:type="character" w:customStyle="1" w:styleId="a4">
    <w:name w:val="Текст сноски Знак"/>
    <w:aliases w:val="Footnote Text Char Знак,Table_Footnote_last Знак Знак1,Table_Footnote_last Знак Знак Знак,Table_Footnote_last Знак1,Текст сноски Знак Знак1 Знак Знак,Текст сноски Знак1 Знак1 Знак Знак Знак,Текст сноски Знак Знак Знак1 Знак Знак Знак"/>
    <w:basedOn w:val="a0"/>
    <w:link w:val="a3"/>
    <w:rsid w:val="00976BBB"/>
    <w:rPr>
      <w:rFonts w:ascii="Calibri" w:eastAsia="Calibri" w:hAnsi="Calibri" w:cs="Times New Roman"/>
      <w:sz w:val="20"/>
      <w:szCs w:val="20"/>
      <w:lang w:eastAsia="x-none"/>
    </w:rPr>
  </w:style>
  <w:style w:type="character" w:styleId="a5">
    <w:name w:val="footnote reference"/>
    <w:aliases w:val="Знак сноски-FN,Ciae niinee-FN,Знак сноски 1,Referencia nota al pie"/>
    <w:unhideWhenUsed/>
    <w:rsid w:val="00976BBB"/>
    <w:rPr>
      <w:vertAlign w:val="superscript"/>
    </w:rPr>
  </w:style>
  <w:style w:type="paragraph" w:styleId="a6">
    <w:name w:val="Normal (Web)"/>
    <w:basedOn w:val="a"/>
    <w:uiPriority w:val="99"/>
    <w:unhideWhenUsed/>
    <w:rsid w:val="00976B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97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76B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6BBB"/>
    <w:rPr>
      <w:rFonts w:ascii="Tahoma" w:hAnsi="Tahoma" w:cs="Tahoma"/>
      <w:sz w:val="16"/>
      <w:szCs w:val="16"/>
    </w:rPr>
  </w:style>
  <w:style w:type="paragraph" w:styleId="aa">
    <w:name w:val="List Paragraph"/>
    <w:basedOn w:val="a"/>
    <w:uiPriority w:val="34"/>
    <w:qFormat/>
    <w:rsid w:val="00976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4.2186808322266484E-2"/>
          <c:y val="6.9730586821983534E-2"/>
          <c:w val="0.58840299345051972"/>
          <c:h val="0.86415415535097162"/>
        </c:manualLayout>
      </c:layout>
      <c:pie3DChart>
        <c:varyColors val="1"/>
        <c:ser>
          <c:idx val="0"/>
          <c:order val="0"/>
          <c:tx>
            <c:strRef>
              <c:f>Лист1!$B$1</c:f>
              <c:strCache>
                <c:ptCount val="1"/>
                <c:pt idx="0">
                  <c:v>Столбец1</c:v>
                </c:pt>
              </c:strCache>
            </c:strRef>
          </c:tx>
          <c:explosion val="25"/>
          <c:dPt>
            <c:idx val="0"/>
            <c:bubble3D val="0"/>
            <c:spPr>
              <a:solidFill>
                <a:srgbClr val="C00000"/>
              </a:solidFill>
            </c:spPr>
          </c:dPt>
          <c:dPt>
            <c:idx val="1"/>
            <c:bubble3D val="0"/>
            <c:spPr>
              <a:solidFill>
                <a:srgbClr val="92D050"/>
              </a:solidFill>
            </c:spPr>
          </c:dPt>
          <c:dPt>
            <c:idx val="2"/>
            <c:bubble3D val="0"/>
            <c:explosion val="28"/>
            <c:spPr>
              <a:solidFill>
                <a:schemeClr val="accent6">
                  <a:lumMod val="75000"/>
                </a:schemeClr>
              </a:solidFill>
            </c:spPr>
          </c:dPt>
          <c:dPt>
            <c:idx val="4"/>
            <c:bubble3D val="0"/>
            <c:spPr>
              <a:solidFill>
                <a:schemeClr val="accent5">
                  <a:lumMod val="75000"/>
                </a:schemeClr>
              </a:solidFill>
            </c:spPr>
          </c:dPt>
          <c:dPt>
            <c:idx val="5"/>
            <c:bubble3D val="0"/>
            <c:spPr>
              <a:solidFill>
                <a:srgbClr val="FFC000"/>
              </a:solidFill>
            </c:spPr>
          </c:dPt>
          <c:dLbls>
            <c:dLbl>
              <c:idx val="0"/>
              <c:layout>
                <c:manualLayout>
                  <c:x val="-8.1518458101103919E-2"/>
                  <c:y val="6.0637038049202667E-2"/>
                </c:manualLayout>
              </c:layout>
              <c:tx>
                <c:rich>
                  <a:bodyPr/>
                  <a:lstStyle/>
                  <a:p>
                    <a:r>
                      <a:rPr lang="ru-RU"/>
                      <a:t>3,31</a:t>
                    </a:r>
                    <a:endParaRPr lang="en-US"/>
                  </a:p>
                </c:rich>
              </c:tx>
              <c:showLegendKey val="0"/>
              <c:showVal val="1"/>
              <c:showCatName val="0"/>
              <c:showSerName val="0"/>
              <c:showPercent val="0"/>
              <c:showBubbleSize val="0"/>
            </c:dLbl>
            <c:dLbl>
              <c:idx val="1"/>
              <c:layout>
                <c:manualLayout>
                  <c:x val="-0.10431641761911235"/>
                  <c:y val="-9.4909218234922377E-2"/>
                </c:manualLayout>
              </c:layout>
              <c:showLegendKey val="0"/>
              <c:showVal val="1"/>
              <c:showCatName val="0"/>
              <c:showSerName val="0"/>
              <c:showPercent val="0"/>
              <c:showBubbleSize val="0"/>
            </c:dLbl>
            <c:dLbl>
              <c:idx val="2"/>
              <c:layout>
                <c:manualLayout>
                  <c:x val="-6.5224055658381352E-2"/>
                  <c:y val="-0.20050529204456821"/>
                </c:manualLayout>
              </c:layout>
              <c:tx>
                <c:rich>
                  <a:bodyPr/>
                  <a:lstStyle/>
                  <a:p>
                    <a:r>
                      <a:rPr lang="ru-RU"/>
                      <a:t>2,93</a:t>
                    </a:r>
                    <a:endParaRPr lang="en-US"/>
                  </a:p>
                </c:rich>
              </c:tx>
              <c:showLegendKey val="0"/>
              <c:showVal val="1"/>
              <c:showCatName val="0"/>
              <c:showSerName val="0"/>
              <c:showPercent val="0"/>
              <c:showBubbleSize val="0"/>
            </c:dLbl>
            <c:dLbl>
              <c:idx val="3"/>
              <c:layout>
                <c:manualLayout>
                  <c:x val="0.10571197275639353"/>
                  <c:y val="-0.13856872825820846"/>
                </c:manualLayout>
              </c:layout>
              <c:tx>
                <c:rich>
                  <a:bodyPr/>
                  <a:lstStyle/>
                  <a:p>
                    <a:r>
                      <a:rPr lang="ru-RU" sz="1200"/>
                      <a:t>2,78</a:t>
                    </a:r>
                    <a:endParaRPr lang="en-US" sz="1200"/>
                  </a:p>
                </c:rich>
              </c:tx>
              <c:showLegendKey val="0"/>
              <c:showVal val="1"/>
              <c:showCatName val="0"/>
              <c:showSerName val="0"/>
              <c:showPercent val="0"/>
              <c:showBubbleSize val="0"/>
            </c:dLbl>
            <c:dLbl>
              <c:idx val="4"/>
              <c:layout>
                <c:manualLayout>
                  <c:x val="0.11042348541093719"/>
                  <c:y val="1.5000199270102092E-2"/>
                </c:manualLayout>
              </c:layout>
              <c:tx>
                <c:rich>
                  <a:bodyPr/>
                  <a:lstStyle/>
                  <a:p>
                    <a:r>
                      <a:rPr lang="ru-RU"/>
                      <a:t>2,44</a:t>
                    </a:r>
                    <a:endParaRPr lang="en-US"/>
                  </a:p>
                </c:rich>
              </c:tx>
              <c:showLegendKey val="0"/>
              <c:showVal val="1"/>
              <c:showCatName val="0"/>
              <c:showSerName val="0"/>
              <c:showPercent val="0"/>
              <c:showBubbleSize val="0"/>
            </c:dLbl>
            <c:dLbl>
              <c:idx val="5"/>
              <c:layout>
                <c:manualLayout>
                  <c:x val="6.1588466780297869E-2"/>
                  <c:y val="7.8570777893544233E-2"/>
                </c:manualLayout>
              </c:layout>
              <c:tx>
                <c:rich>
                  <a:bodyPr/>
                  <a:lstStyle/>
                  <a:p>
                    <a:r>
                      <a:rPr lang="en-US"/>
                      <a:t>2,3</a:t>
                    </a:r>
                    <a:r>
                      <a:rPr lang="ru-RU"/>
                      <a:t>8</a:t>
                    </a:r>
                    <a:endParaRPr lang="en-US"/>
                  </a:p>
                </c:rich>
              </c:tx>
              <c:showLegendKey val="0"/>
              <c:showVal val="1"/>
              <c:showCatName val="0"/>
              <c:showSerName val="0"/>
              <c:showPercent val="0"/>
              <c:showBubbleSize val="0"/>
            </c:dLbl>
            <c:txPr>
              <a:bodyPr/>
              <a:lstStyle/>
              <a:p>
                <a:pPr>
                  <a:defRPr sz="1200"/>
                </a:pPr>
                <a:endParaRPr lang="ru-RU"/>
              </a:p>
            </c:txPr>
            <c:showLegendKey val="0"/>
            <c:showVal val="0"/>
            <c:showCatName val="0"/>
            <c:showSerName val="0"/>
            <c:showPercent val="0"/>
            <c:showBubbleSize val="0"/>
          </c:dLbls>
          <c:cat>
            <c:strRef>
              <c:f>Лист1!$A$2:$A$7</c:f>
              <c:strCache>
                <c:ptCount val="6"/>
                <c:pt idx="0">
                  <c:v>Финансы</c:v>
                </c:pt>
                <c:pt idx="1">
                  <c:v>НИОКР</c:v>
                </c:pt>
                <c:pt idx="2">
                  <c:v>Управление персоналом</c:v>
                </c:pt>
                <c:pt idx="3">
                  <c:v>Производство</c:v>
                </c:pt>
                <c:pt idx="4">
                  <c:v>Закупки</c:v>
                </c:pt>
                <c:pt idx="5">
                  <c:v>Маркетинг и сбыт</c:v>
                </c:pt>
              </c:strCache>
            </c:strRef>
          </c:cat>
          <c:val>
            <c:numRef>
              <c:f>Лист1!$B$2:$B$7</c:f>
              <c:numCache>
                <c:formatCode>General</c:formatCode>
                <c:ptCount val="6"/>
                <c:pt idx="0">
                  <c:v>3.3</c:v>
                </c:pt>
                <c:pt idx="1">
                  <c:v>3.1</c:v>
                </c:pt>
                <c:pt idx="2">
                  <c:v>2.92</c:v>
                </c:pt>
                <c:pt idx="3">
                  <c:v>2.79</c:v>
                </c:pt>
                <c:pt idx="4">
                  <c:v>2.4299999999999997</c:v>
                </c:pt>
                <c:pt idx="5">
                  <c:v>2.3899999999999997</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607561007065385"/>
          <c:y val="0.19808159826008737"/>
          <c:w val="0.32179070245701358"/>
          <c:h val="0.57852950051525553"/>
        </c:manualLayout>
      </c:layout>
      <c:overlay val="0"/>
      <c:txPr>
        <a:bodyPr/>
        <a:lstStyle/>
        <a:p>
          <a:pPr>
            <a:defRPr sz="1200"/>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7BC76-9F30-4D34-8DAD-C0A2EED3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1288</Words>
  <Characters>7347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Анна Пушкина</cp:lastModifiedBy>
  <cp:revision>6</cp:revision>
  <dcterms:created xsi:type="dcterms:W3CDTF">2019-02-22T09:14:00Z</dcterms:created>
  <dcterms:modified xsi:type="dcterms:W3CDTF">2019-02-25T17:44:00Z</dcterms:modified>
</cp:coreProperties>
</file>