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F5" w:rsidRDefault="009540F5" w:rsidP="00EB20C9">
      <w:pPr>
        <w:jc w:val="center"/>
        <w:rPr>
          <w:b/>
        </w:rPr>
      </w:pPr>
      <w:r w:rsidRPr="009540F5">
        <w:rPr>
          <w:b/>
        </w:rPr>
        <w:t xml:space="preserve">Анализ особенностей нефтегазоконденсатных залежей </w:t>
      </w:r>
      <w:proofErr w:type="spellStart"/>
      <w:r w:rsidRPr="009540F5">
        <w:rPr>
          <w:b/>
        </w:rPr>
        <w:t>Уренгойского</w:t>
      </w:r>
      <w:proofErr w:type="spellEnd"/>
      <w:r w:rsidRPr="009540F5">
        <w:rPr>
          <w:b/>
        </w:rPr>
        <w:t xml:space="preserve"> месторождения, определяющих условия эффективного извлечения нефти </w:t>
      </w:r>
    </w:p>
    <w:p w:rsidR="00EB20C9" w:rsidRDefault="009540F5" w:rsidP="00EB20C9">
      <w:pPr>
        <w:jc w:val="center"/>
        <w:rPr>
          <w:i/>
        </w:rPr>
      </w:pPr>
      <w:r>
        <w:rPr>
          <w:i/>
        </w:rPr>
        <w:t>Десятников Э.С.</w:t>
      </w:r>
    </w:p>
    <w:p w:rsidR="00EB20C9" w:rsidRDefault="00EB20C9" w:rsidP="00EB20C9">
      <w:pPr>
        <w:jc w:val="center"/>
        <w:rPr>
          <w:i/>
        </w:rPr>
      </w:pPr>
      <w:r w:rsidRPr="00EB20C9">
        <w:rPr>
          <w:i/>
        </w:rPr>
        <w:t>Тюменский индустриальный университет, г. Тюмень</w:t>
      </w:r>
    </w:p>
    <w:p w:rsidR="009540F5" w:rsidRDefault="009540F5" w:rsidP="009540F5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Геологический разрез района представлен терригенными песчан</w:t>
      </w:r>
      <w:proofErr w:type="gramStart"/>
      <w:r>
        <w:rPr>
          <w:lang w:eastAsia="ru-RU"/>
        </w:rPr>
        <w:t>о-</w:t>
      </w:r>
      <w:proofErr w:type="gramEnd"/>
      <w:r>
        <w:rPr>
          <w:lang w:eastAsia="ru-RU"/>
        </w:rPr>
        <w:t xml:space="preserve"> глинистыми отложениями мезозойско-кайнозойского платформенного чехла, залегающими на породах промежуточного структурно-формационного яруса и складчатом палеозойском основании.</w:t>
      </w:r>
    </w:p>
    <w:p w:rsidR="009540F5" w:rsidRDefault="009540F5" w:rsidP="009540F5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В пределах </w:t>
      </w:r>
      <w:proofErr w:type="spellStart"/>
      <w:r>
        <w:rPr>
          <w:lang w:eastAsia="ru-RU"/>
        </w:rPr>
        <w:t>Уренгойского</w:t>
      </w:r>
      <w:proofErr w:type="spellEnd"/>
      <w:r>
        <w:rPr>
          <w:lang w:eastAsia="ru-RU"/>
        </w:rPr>
        <w:t xml:space="preserve"> месторождения выделено четыре продуктивных комплекса, охватывающих диапазон глубин от 1760 до 3480 м: среднеюрский, </w:t>
      </w:r>
      <w:proofErr w:type="spellStart"/>
      <w:r>
        <w:rPr>
          <w:lang w:eastAsia="ru-RU"/>
        </w:rPr>
        <w:t>неокомский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апт-альбский</w:t>
      </w:r>
      <w:proofErr w:type="spellEnd"/>
      <w:r>
        <w:rPr>
          <w:lang w:eastAsia="ru-RU"/>
        </w:rPr>
        <w:t xml:space="preserve"> и </w:t>
      </w:r>
      <w:proofErr w:type="spellStart"/>
      <w:r>
        <w:rPr>
          <w:lang w:eastAsia="ru-RU"/>
        </w:rPr>
        <w:t>сеноманский</w:t>
      </w:r>
      <w:proofErr w:type="spellEnd"/>
      <w:r>
        <w:rPr>
          <w:lang w:eastAsia="ru-RU"/>
        </w:rPr>
        <w:t>.</w:t>
      </w:r>
    </w:p>
    <w:p w:rsidR="009540F5" w:rsidRPr="00434AA8" w:rsidRDefault="009540F5" w:rsidP="009540F5">
      <w:pPr>
        <w:spacing w:line="240" w:lineRule="auto"/>
        <w:ind w:firstLine="709"/>
        <w:rPr>
          <w:i/>
          <w:lang w:eastAsia="ru-RU"/>
        </w:rPr>
      </w:pPr>
      <w:proofErr w:type="spellStart"/>
      <w:r w:rsidRPr="00434AA8">
        <w:rPr>
          <w:i/>
          <w:lang w:eastAsia="ru-RU"/>
        </w:rPr>
        <w:t>Неокомские</w:t>
      </w:r>
      <w:proofErr w:type="spellEnd"/>
      <w:r w:rsidRPr="00434AA8">
        <w:rPr>
          <w:i/>
          <w:lang w:eastAsia="ru-RU"/>
        </w:rPr>
        <w:t xml:space="preserve"> залежи</w:t>
      </w:r>
    </w:p>
    <w:p w:rsidR="009540F5" w:rsidRDefault="009540F5" w:rsidP="009540F5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В соответствии с современными представлениями о геологическом строении месторождения, в </w:t>
      </w:r>
      <w:proofErr w:type="spellStart"/>
      <w:r>
        <w:rPr>
          <w:lang w:eastAsia="ru-RU"/>
        </w:rPr>
        <w:t>неокомских</w:t>
      </w:r>
      <w:proofErr w:type="spellEnd"/>
      <w:r>
        <w:rPr>
          <w:lang w:eastAsia="ru-RU"/>
        </w:rPr>
        <w:t xml:space="preserve"> отложениях выделяется 26 </w:t>
      </w:r>
      <w:proofErr w:type="gramStart"/>
      <w:r>
        <w:rPr>
          <w:lang w:eastAsia="ru-RU"/>
        </w:rPr>
        <w:t>продуктивных пластов, сгруппированных в пять</w:t>
      </w:r>
      <w:proofErr w:type="gramEnd"/>
      <w:r>
        <w:rPr>
          <w:lang w:eastAsia="ru-RU"/>
        </w:rPr>
        <w:t xml:space="preserve"> объектов разработки:</w:t>
      </w:r>
    </w:p>
    <w:p w:rsidR="009540F5" w:rsidRDefault="009540F5" w:rsidP="009540F5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– </w:t>
      </w:r>
      <w:proofErr w:type="spellStart"/>
      <w:r>
        <w:rPr>
          <w:lang w:eastAsia="ru-RU"/>
        </w:rPr>
        <w:t>Iа</w:t>
      </w:r>
      <w:proofErr w:type="spellEnd"/>
      <w:r>
        <w:rPr>
          <w:lang w:eastAsia="ru-RU"/>
        </w:rPr>
        <w:t xml:space="preserve"> объект (пласты ПК</w:t>
      </w:r>
      <w:r w:rsidRPr="00FA15A0">
        <w:rPr>
          <w:vertAlign w:val="subscript"/>
          <w:lang w:eastAsia="ru-RU"/>
        </w:rPr>
        <w:t>16</w:t>
      </w:r>
      <w:r>
        <w:rPr>
          <w:lang w:eastAsia="ru-RU"/>
        </w:rPr>
        <w:t>, ПК</w:t>
      </w:r>
      <w:r w:rsidRPr="00FA15A0">
        <w:rPr>
          <w:vertAlign w:val="subscript"/>
          <w:lang w:eastAsia="ru-RU"/>
        </w:rPr>
        <w:t>18</w:t>
      </w:r>
      <w:r>
        <w:rPr>
          <w:lang w:eastAsia="ru-RU"/>
        </w:rPr>
        <w:t>, ПК</w:t>
      </w:r>
      <w:r w:rsidRPr="00FA15A0">
        <w:rPr>
          <w:vertAlign w:val="subscript"/>
          <w:lang w:eastAsia="ru-RU"/>
        </w:rPr>
        <w:t>19</w:t>
      </w:r>
      <w:r>
        <w:rPr>
          <w:lang w:eastAsia="ru-RU"/>
        </w:rPr>
        <w:t>, ПК</w:t>
      </w:r>
      <w:r w:rsidRPr="00FA15A0">
        <w:rPr>
          <w:vertAlign w:val="subscript"/>
          <w:lang w:eastAsia="ru-RU"/>
        </w:rPr>
        <w:t>21</w:t>
      </w:r>
      <w:r>
        <w:rPr>
          <w:vertAlign w:val="superscript"/>
          <w:lang w:eastAsia="ru-RU"/>
        </w:rPr>
        <w:t>0</w:t>
      </w:r>
      <w:r>
        <w:rPr>
          <w:lang w:eastAsia="ru-RU"/>
        </w:rPr>
        <w:t>, ПК</w:t>
      </w:r>
      <w:r w:rsidRPr="00FA15A0">
        <w:rPr>
          <w:vertAlign w:val="subscript"/>
          <w:lang w:eastAsia="ru-RU"/>
        </w:rPr>
        <w:t>21</w:t>
      </w:r>
      <w:r>
        <w:rPr>
          <w:lang w:eastAsia="ru-RU"/>
        </w:rPr>
        <w:t>, АУ</w:t>
      </w:r>
      <w:proofErr w:type="gramStart"/>
      <w:r w:rsidRPr="00FA15A0">
        <w:rPr>
          <w:vertAlign w:val="subscript"/>
          <w:lang w:eastAsia="ru-RU"/>
        </w:rPr>
        <w:t>9</w:t>
      </w:r>
      <w:proofErr w:type="gramEnd"/>
      <w:r>
        <w:rPr>
          <w:lang w:eastAsia="ru-RU"/>
        </w:rPr>
        <w:t>, АУ</w:t>
      </w:r>
      <w:r w:rsidRPr="00FA15A0">
        <w:rPr>
          <w:vertAlign w:val="subscript"/>
          <w:lang w:eastAsia="ru-RU"/>
        </w:rPr>
        <w:t>10</w:t>
      </w:r>
      <w:r>
        <w:rPr>
          <w:vertAlign w:val="superscript"/>
          <w:lang w:eastAsia="ru-RU"/>
        </w:rPr>
        <w:t>1</w:t>
      </w:r>
      <w:r>
        <w:rPr>
          <w:lang w:eastAsia="ru-RU"/>
        </w:rPr>
        <w:t>, БУ</w:t>
      </w:r>
      <w:r w:rsidRPr="00FA15A0">
        <w:rPr>
          <w:vertAlign w:val="subscript"/>
          <w:lang w:eastAsia="ru-RU"/>
        </w:rPr>
        <w:t>0</w:t>
      </w:r>
      <w:r>
        <w:rPr>
          <w:lang w:eastAsia="ru-RU"/>
        </w:rPr>
        <w:t>) – 12 залежей;</w:t>
      </w:r>
    </w:p>
    <w:p w:rsidR="009540F5" w:rsidRDefault="009540F5" w:rsidP="009540F5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– </w:t>
      </w:r>
      <w:proofErr w:type="spellStart"/>
      <w:proofErr w:type="gramStart"/>
      <w:r>
        <w:rPr>
          <w:lang w:eastAsia="ru-RU"/>
        </w:rPr>
        <w:t>I</w:t>
      </w:r>
      <w:proofErr w:type="gramEnd"/>
      <w:r>
        <w:rPr>
          <w:lang w:eastAsia="ru-RU"/>
        </w:rPr>
        <w:t>б</w:t>
      </w:r>
      <w:proofErr w:type="spellEnd"/>
      <w:r>
        <w:rPr>
          <w:lang w:eastAsia="ru-RU"/>
        </w:rPr>
        <w:t xml:space="preserve"> объект (пласты БУ</w:t>
      </w:r>
      <w:r w:rsidRPr="00FA15A0">
        <w:rPr>
          <w:vertAlign w:val="subscript"/>
          <w:lang w:eastAsia="ru-RU"/>
        </w:rPr>
        <w:t>1-2</w:t>
      </w:r>
      <w:r>
        <w:rPr>
          <w:lang w:eastAsia="ru-RU"/>
        </w:rPr>
        <w:t>, БУ</w:t>
      </w:r>
      <w:r w:rsidRPr="00FA15A0">
        <w:rPr>
          <w:vertAlign w:val="subscript"/>
          <w:lang w:eastAsia="ru-RU"/>
        </w:rPr>
        <w:t>5</w:t>
      </w:r>
      <w:r>
        <w:rPr>
          <w:lang w:eastAsia="ru-RU"/>
        </w:rPr>
        <w:t>) - 6 залежей;</w:t>
      </w:r>
    </w:p>
    <w:p w:rsidR="009540F5" w:rsidRDefault="009540F5" w:rsidP="009540F5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– II объект (пласты БУ</w:t>
      </w:r>
      <w:r w:rsidRPr="00FA15A0">
        <w:rPr>
          <w:vertAlign w:val="subscript"/>
          <w:lang w:eastAsia="ru-RU"/>
        </w:rPr>
        <w:t>8</w:t>
      </w:r>
      <w:r w:rsidRPr="00FA15A0">
        <w:rPr>
          <w:vertAlign w:val="superscript"/>
          <w:lang w:eastAsia="ru-RU"/>
        </w:rPr>
        <w:t>0</w:t>
      </w:r>
      <w:r>
        <w:rPr>
          <w:lang w:eastAsia="ru-RU"/>
        </w:rPr>
        <w:t>, БУ</w:t>
      </w:r>
      <w:r w:rsidRPr="00FA15A0">
        <w:rPr>
          <w:vertAlign w:val="subscript"/>
          <w:lang w:eastAsia="ru-RU"/>
        </w:rPr>
        <w:t>8</w:t>
      </w:r>
      <w:r>
        <w:rPr>
          <w:lang w:eastAsia="ru-RU"/>
        </w:rPr>
        <w:t>, БУ</w:t>
      </w:r>
      <w:proofErr w:type="gramStart"/>
      <w:r w:rsidRPr="00FA15A0">
        <w:rPr>
          <w:vertAlign w:val="subscript"/>
          <w:lang w:eastAsia="ru-RU"/>
        </w:rPr>
        <w:t>9</w:t>
      </w:r>
      <w:proofErr w:type="gramEnd"/>
      <w:r>
        <w:rPr>
          <w:lang w:eastAsia="ru-RU"/>
        </w:rPr>
        <w:t>) –15 залежей;</w:t>
      </w:r>
    </w:p>
    <w:p w:rsidR="009540F5" w:rsidRDefault="009540F5" w:rsidP="009540F5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– III объект (пласты БУ</w:t>
      </w:r>
      <w:r w:rsidRPr="00FA15A0">
        <w:rPr>
          <w:vertAlign w:val="subscript"/>
          <w:lang w:eastAsia="ru-RU"/>
        </w:rPr>
        <w:t>10</w:t>
      </w:r>
      <w:r>
        <w:rPr>
          <w:lang w:eastAsia="ru-RU"/>
        </w:rPr>
        <w:t>, БУ</w:t>
      </w:r>
      <w:r w:rsidRPr="00FA15A0">
        <w:rPr>
          <w:vertAlign w:val="subscript"/>
          <w:lang w:eastAsia="ru-RU"/>
        </w:rPr>
        <w:t>11</w:t>
      </w:r>
      <w:r>
        <w:rPr>
          <w:vertAlign w:val="superscript"/>
          <w:lang w:eastAsia="ru-RU"/>
        </w:rPr>
        <w:t>1</w:t>
      </w:r>
      <w:r>
        <w:rPr>
          <w:lang w:eastAsia="ru-RU"/>
        </w:rPr>
        <w:t>, БУ</w:t>
      </w:r>
      <w:r w:rsidRPr="00FA15A0">
        <w:rPr>
          <w:vertAlign w:val="subscript"/>
          <w:lang w:eastAsia="ru-RU"/>
        </w:rPr>
        <w:t>11</w:t>
      </w:r>
      <w:r>
        <w:rPr>
          <w:vertAlign w:val="superscript"/>
          <w:lang w:eastAsia="ru-RU"/>
        </w:rPr>
        <w:t>2</w:t>
      </w:r>
      <w:r>
        <w:rPr>
          <w:lang w:eastAsia="ru-RU"/>
        </w:rPr>
        <w:t>, БУ</w:t>
      </w:r>
      <w:r w:rsidRPr="00FA15A0">
        <w:rPr>
          <w:vertAlign w:val="subscript"/>
          <w:lang w:eastAsia="ru-RU"/>
        </w:rPr>
        <w:t>11</w:t>
      </w:r>
      <w:r>
        <w:rPr>
          <w:vertAlign w:val="superscript"/>
          <w:lang w:eastAsia="ru-RU"/>
        </w:rPr>
        <w:t>3</w:t>
      </w:r>
      <w:r>
        <w:rPr>
          <w:lang w:eastAsia="ru-RU"/>
        </w:rPr>
        <w:t>, БУ</w:t>
      </w:r>
      <w:r w:rsidRPr="00685B78">
        <w:rPr>
          <w:vertAlign w:val="subscript"/>
          <w:lang w:eastAsia="ru-RU"/>
        </w:rPr>
        <w:t>12</w:t>
      </w:r>
      <w:r>
        <w:rPr>
          <w:vertAlign w:val="superscript"/>
          <w:lang w:eastAsia="ru-RU"/>
        </w:rPr>
        <w:t>1</w:t>
      </w:r>
      <w:r>
        <w:rPr>
          <w:lang w:eastAsia="ru-RU"/>
        </w:rPr>
        <w:t>) – 23 залежи;</w:t>
      </w:r>
    </w:p>
    <w:p w:rsidR="009540F5" w:rsidRDefault="009540F5" w:rsidP="009540F5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– IV объект (пласты БУ</w:t>
      </w:r>
      <w:r w:rsidRPr="00685B78">
        <w:rPr>
          <w:vertAlign w:val="subscript"/>
          <w:lang w:eastAsia="ru-RU"/>
        </w:rPr>
        <w:t>12</w:t>
      </w:r>
      <w:r>
        <w:rPr>
          <w:vertAlign w:val="superscript"/>
          <w:lang w:eastAsia="ru-RU"/>
        </w:rPr>
        <w:t>2</w:t>
      </w:r>
      <w:r>
        <w:rPr>
          <w:lang w:eastAsia="ru-RU"/>
        </w:rPr>
        <w:t>, БУ</w:t>
      </w:r>
      <w:r w:rsidRPr="00685B78">
        <w:rPr>
          <w:vertAlign w:val="subscript"/>
          <w:lang w:eastAsia="ru-RU"/>
        </w:rPr>
        <w:t>13</w:t>
      </w:r>
      <w:r>
        <w:rPr>
          <w:lang w:eastAsia="ru-RU"/>
        </w:rPr>
        <w:t>, БУ</w:t>
      </w:r>
      <w:r w:rsidRPr="00685B78">
        <w:rPr>
          <w:vertAlign w:val="subscript"/>
          <w:lang w:eastAsia="ru-RU"/>
        </w:rPr>
        <w:t>14</w:t>
      </w:r>
      <w:r>
        <w:rPr>
          <w:vertAlign w:val="superscript"/>
          <w:lang w:eastAsia="ru-RU"/>
        </w:rPr>
        <w:t>1</w:t>
      </w:r>
      <w:r>
        <w:rPr>
          <w:lang w:eastAsia="ru-RU"/>
        </w:rPr>
        <w:t>, БУ</w:t>
      </w:r>
      <w:r w:rsidRPr="00685B78">
        <w:rPr>
          <w:vertAlign w:val="subscript"/>
          <w:lang w:eastAsia="ru-RU"/>
        </w:rPr>
        <w:t>14</w:t>
      </w:r>
      <w:r>
        <w:rPr>
          <w:vertAlign w:val="superscript"/>
          <w:lang w:eastAsia="ru-RU"/>
        </w:rPr>
        <w:t>2</w:t>
      </w:r>
      <w:r>
        <w:rPr>
          <w:lang w:eastAsia="ru-RU"/>
        </w:rPr>
        <w:t>) – 18 залежей;</w:t>
      </w:r>
    </w:p>
    <w:p w:rsidR="009540F5" w:rsidRDefault="009540F5" w:rsidP="009540F5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– V объект (пласты БУ</w:t>
      </w:r>
      <w:r w:rsidRPr="00685B78">
        <w:rPr>
          <w:vertAlign w:val="subscript"/>
          <w:lang w:eastAsia="ru-RU"/>
        </w:rPr>
        <w:t>16</w:t>
      </w:r>
      <w:r w:rsidRPr="00685B78">
        <w:rPr>
          <w:vertAlign w:val="superscript"/>
          <w:lang w:eastAsia="ru-RU"/>
        </w:rPr>
        <w:t>0</w:t>
      </w:r>
      <w:r>
        <w:rPr>
          <w:lang w:eastAsia="ru-RU"/>
        </w:rPr>
        <w:t>, БУ</w:t>
      </w:r>
      <w:r w:rsidRPr="00685B78">
        <w:rPr>
          <w:vertAlign w:val="subscript"/>
          <w:lang w:eastAsia="ru-RU"/>
        </w:rPr>
        <w:t>16</w:t>
      </w:r>
      <w:r>
        <w:rPr>
          <w:vertAlign w:val="superscript"/>
          <w:lang w:eastAsia="ru-RU"/>
        </w:rPr>
        <w:t>1-1</w:t>
      </w:r>
      <w:r>
        <w:rPr>
          <w:lang w:eastAsia="ru-RU"/>
        </w:rPr>
        <w:t>, БУ</w:t>
      </w:r>
      <w:r w:rsidRPr="00685B78">
        <w:rPr>
          <w:vertAlign w:val="subscript"/>
          <w:lang w:eastAsia="ru-RU"/>
        </w:rPr>
        <w:t>16</w:t>
      </w:r>
      <w:r>
        <w:rPr>
          <w:vertAlign w:val="superscript"/>
          <w:lang w:eastAsia="ru-RU"/>
        </w:rPr>
        <w:t>1-2</w:t>
      </w:r>
      <w:r>
        <w:rPr>
          <w:lang w:eastAsia="ru-RU"/>
        </w:rPr>
        <w:t>, БУ</w:t>
      </w:r>
      <w:r w:rsidRPr="00685B78">
        <w:rPr>
          <w:vertAlign w:val="subscript"/>
          <w:lang w:eastAsia="ru-RU"/>
        </w:rPr>
        <w:t>16</w:t>
      </w:r>
      <w:r>
        <w:rPr>
          <w:vertAlign w:val="superscript"/>
          <w:lang w:eastAsia="ru-RU"/>
        </w:rPr>
        <w:t>1-3</w:t>
      </w:r>
      <w:r>
        <w:rPr>
          <w:lang w:eastAsia="ru-RU"/>
        </w:rPr>
        <w:t>) – 7 залежей.</w:t>
      </w:r>
    </w:p>
    <w:p w:rsidR="009540F5" w:rsidRDefault="009540F5" w:rsidP="009540F5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Верхние залежи в пластах ПК</w:t>
      </w:r>
      <w:r w:rsidRPr="00685B78">
        <w:rPr>
          <w:vertAlign w:val="subscript"/>
          <w:lang w:eastAsia="ru-RU"/>
        </w:rPr>
        <w:t>18</w:t>
      </w:r>
      <w:r>
        <w:rPr>
          <w:lang w:eastAsia="ru-RU"/>
        </w:rPr>
        <w:t>, ПК</w:t>
      </w:r>
      <w:r w:rsidRPr="00685B78">
        <w:rPr>
          <w:vertAlign w:val="subscript"/>
          <w:lang w:eastAsia="ru-RU"/>
        </w:rPr>
        <w:t>21</w:t>
      </w:r>
      <w:r>
        <w:rPr>
          <w:lang w:eastAsia="ru-RU"/>
        </w:rPr>
        <w:t xml:space="preserve"> и АУ</w:t>
      </w:r>
      <w:proofErr w:type="gramStart"/>
      <w:r w:rsidRPr="00685B78">
        <w:rPr>
          <w:vertAlign w:val="subscript"/>
          <w:lang w:eastAsia="ru-RU"/>
        </w:rPr>
        <w:t>9</w:t>
      </w:r>
      <w:proofErr w:type="gramEnd"/>
      <w:r>
        <w:rPr>
          <w:lang w:eastAsia="ru-RU"/>
        </w:rPr>
        <w:t>, АУ</w:t>
      </w:r>
      <w:r w:rsidRPr="00685B78">
        <w:rPr>
          <w:vertAlign w:val="subscript"/>
          <w:lang w:eastAsia="ru-RU"/>
        </w:rPr>
        <w:t>10</w:t>
      </w:r>
      <w:r>
        <w:rPr>
          <w:lang w:eastAsia="ru-RU"/>
        </w:rPr>
        <w:t xml:space="preserve"> небольшие по размерам и встречаются лишь в </w:t>
      </w:r>
      <w:proofErr w:type="spellStart"/>
      <w:r>
        <w:rPr>
          <w:lang w:eastAsia="ru-RU"/>
        </w:rPr>
        <w:t>сводовых</w:t>
      </w:r>
      <w:proofErr w:type="spellEnd"/>
      <w:r>
        <w:rPr>
          <w:lang w:eastAsia="ru-RU"/>
        </w:rPr>
        <w:t xml:space="preserve"> частях структуры. Основные запасы углеводородов в отложениях нижнего мела связаны с залежами в пластах БУ</w:t>
      </w:r>
      <w:r w:rsidRPr="00685B78">
        <w:rPr>
          <w:vertAlign w:val="subscript"/>
          <w:lang w:eastAsia="ru-RU"/>
        </w:rPr>
        <w:t>8</w:t>
      </w:r>
      <w:r>
        <w:rPr>
          <w:vertAlign w:val="superscript"/>
          <w:lang w:eastAsia="ru-RU"/>
        </w:rPr>
        <w:t>0</w:t>
      </w:r>
      <w:r>
        <w:rPr>
          <w:lang w:eastAsia="ru-RU"/>
        </w:rPr>
        <w:t>-БУ</w:t>
      </w:r>
      <w:r w:rsidRPr="00685B78">
        <w:rPr>
          <w:vertAlign w:val="subscript"/>
          <w:lang w:eastAsia="ru-RU"/>
        </w:rPr>
        <w:t>14</w:t>
      </w:r>
      <w:r>
        <w:rPr>
          <w:lang w:eastAsia="ru-RU"/>
        </w:rPr>
        <w:t xml:space="preserve">, большинство из которых газоконденсатные с нефтяными оторочками, </w:t>
      </w:r>
      <w:proofErr w:type="spellStart"/>
      <w:r>
        <w:rPr>
          <w:lang w:eastAsia="ru-RU"/>
        </w:rPr>
        <w:t>сложнопостроенные</w:t>
      </w:r>
      <w:proofErr w:type="spellEnd"/>
      <w:r>
        <w:rPr>
          <w:lang w:eastAsia="ru-RU"/>
        </w:rPr>
        <w:t>.</w:t>
      </w:r>
    </w:p>
    <w:p w:rsidR="009540F5" w:rsidRDefault="009540F5" w:rsidP="009540F5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 xml:space="preserve">Промышленная эксплуатация нижнемеловых продуктивных отложений на </w:t>
      </w:r>
      <w:proofErr w:type="spellStart"/>
      <w:r>
        <w:rPr>
          <w:lang w:eastAsia="ru-RU"/>
        </w:rPr>
        <w:t>Уренгойском</w:t>
      </w:r>
      <w:proofErr w:type="spellEnd"/>
      <w:r>
        <w:rPr>
          <w:lang w:eastAsia="ru-RU"/>
        </w:rPr>
        <w:t xml:space="preserve"> месторождении началась в январе 1985 г. поэтапным освоением газоконденсатных залежей, добыча нефти из оторочек началась в 1987 г.</w:t>
      </w:r>
    </w:p>
    <w:p w:rsidR="009540F5" w:rsidRDefault="009540F5" w:rsidP="009540F5">
      <w:pPr>
        <w:spacing w:line="240" w:lineRule="auto"/>
        <w:ind w:firstLine="709"/>
        <w:rPr>
          <w:lang w:eastAsia="ru-RU"/>
        </w:rPr>
      </w:pPr>
      <w:r w:rsidRPr="00B57F85">
        <w:rPr>
          <w:lang w:eastAsia="ru-RU"/>
        </w:rPr>
        <w:t>В</w:t>
      </w:r>
      <w:r>
        <w:rPr>
          <w:lang w:eastAsia="ru-RU"/>
        </w:rPr>
        <w:t xml:space="preserve"> </w:t>
      </w:r>
      <w:r w:rsidRPr="00B57F85">
        <w:rPr>
          <w:lang w:eastAsia="ru-RU"/>
        </w:rPr>
        <w:t>настоящее</w:t>
      </w:r>
      <w:r>
        <w:rPr>
          <w:lang w:eastAsia="ru-RU"/>
        </w:rPr>
        <w:t xml:space="preserve"> </w:t>
      </w:r>
      <w:r w:rsidRPr="00B57F85">
        <w:rPr>
          <w:lang w:eastAsia="ru-RU"/>
        </w:rPr>
        <w:t>время</w:t>
      </w:r>
      <w:r>
        <w:rPr>
          <w:lang w:eastAsia="ru-RU"/>
        </w:rPr>
        <w:t xml:space="preserve"> </w:t>
      </w:r>
      <w:r w:rsidRPr="00B57F85">
        <w:rPr>
          <w:lang w:eastAsia="ru-RU"/>
        </w:rPr>
        <w:t>в</w:t>
      </w:r>
      <w:r>
        <w:rPr>
          <w:lang w:eastAsia="ru-RU"/>
        </w:rPr>
        <w:t xml:space="preserve"> </w:t>
      </w:r>
      <w:r w:rsidRPr="00B57F85">
        <w:rPr>
          <w:lang w:eastAsia="ru-RU"/>
        </w:rPr>
        <w:t>разработке</w:t>
      </w:r>
      <w:r>
        <w:rPr>
          <w:lang w:eastAsia="ru-RU"/>
        </w:rPr>
        <w:t xml:space="preserve"> </w:t>
      </w:r>
      <w:r w:rsidRPr="00B57F85">
        <w:rPr>
          <w:lang w:eastAsia="ru-RU"/>
        </w:rPr>
        <w:t>находятся</w:t>
      </w:r>
      <w:r>
        <w:rPr>
          <w:lang w:eastAsia="ru-RU"/>
        </w:rPr>
        <w:t xml:space="preserve"> </w:t>
      </w:r>
      <w:r w:rsidRPr="00B57F85">
        <w:rPr>
          <w:lang w:eastAsia="ru-RU"/>
        </w:rPr>
        <w:t>первый,</w:t>
      </w:r>
      <w:r>
        <w:rPr>
          <w:lang w:eastAsia="ru-RU"/>
        </w:rPr>
        <w:t xml:space="preserve"> </w:t>
      </w:r>
      <w:r w:rsidRPr="00B57F85">
        <w:rPr>
          <w:lang w:eastAsia="ru-RU"/>
        </w:rPr>
        <w:t>второй</w:t>
      </w:r>
      <w:r>
        <w:rPr>
          <w:lang w:eastAsia="ru-RU"/>
        </w:rPr>
        <w:t xml:space="preserve"> </w:t>
      </w:r>
      <w:r w:rsidRPr="00B57F85">
        <w:rPr>
          <w:lang w:eastAsia="ru-RU"/>
        </w:rPr>
        <w:t>и</w:t>
      </w:r>
      <w:r>
        <w:rPr>
          <w:lang w:eastAsia="ru-RU"/>
        </w:rPr>
        <w:t xml:space="preserve"> </w:t>
      </w:r>
      <w:r w:rsidRPr="00B57F85">
        <w:rPr>
          <w:lang w:eastAsia="ru-RU"/>
        </w:rPr>
        <w:t>третий</w:t>
      </w:r>
      <w:r>
        <w:rPr>
          <w:lang w:eastAsia="ru-RU"/>
        </w:rPr>
        <w:t xml:space="preserve"> нефтяные участки, остальные в эксплуатацию не вводились.</w:t>
      </w:r>
    </w:p>
    <w:p w:rsidR="009540F5" w:rsidRDefault="009540F5" w:rsidP="009540F5">
      <w:pPr>
        <w:spacing w:line="240" w:lineRule="auto"/>
        <w:ind w:firstLine="709"/>
        <w:rPr>
          <w:lang w:eastAsia="ru-RU"/>
        </w:rPr>
      </w:pPr>
      <w:proofErr w:type="gramStart"/>
      <w:r>
        <w:rPr>
          <w:lang w:eastAsia="ru-RU"/>
        </w:rPr>
        <w:t xml:space="preserve">Действующим проектным документом является «Проект разработки нижнемеловых отложений </w:t>
      </w:r>
      <w:proofErr w:type="spellStart"/>
      <w:r>
        <w:rPr>
          <w:lang w:eastAsia="ru-RU"/>
        </w:rPr>
        <w:t>Уренгойского</w:t>
      </w:r>
      <w:proofErr w:type="spellEnd"/>
      <w:r>
        <w:rPr>
          <w:lang w:eastAsia="ru-RU"/>
        </w:rPr>
        <w:t xml:space="preserve"> месторождения на полное развитие» (протокол ЦКР </w:t>
      </w:r>
      <w:proofErr w:type="spellStart"/>
      <w:r>
        <w:rPr>
          <w:lang w:eastAsia="ru-RU"/>
        </w:rPr>
        <w:t>Роснедра</w:t>
      </w:r>
      <w:proofErr w:type="spellEnd"/>
      <w:r>
        <w:rPr>
          <w:lang w:eastAsia="ru-RU"/>
        </w:rPr>
        <w:t xml:space="preserve"> по ЯНАО № 34-08 от 09.12.2008), согласно которому, для достижения утвержденных уровней КИН, помимо проведения геолого-технических мероприятий и </w:t>
      </w:r>
      <w:proofErr w:type="spellStart"/>
      <w:r>
        <w:rPr>
          <w:lang w:eastAsia="ru-RU"/>
        </w:rPr>
        <w:t>добуривания</w:t>
      </w:r>
      <w:proofErr w:type="spellEnd"/>
      <w:r>
        <w:rPr>
          <w:lang w:eastAsia="ru-RU"/>
        </w:rPr>
        <w:t xml:space="preserve"> скважин на </w:t>
      </w:r>
      <w:proofErr w:type="spellStart"/>
      <w:r>
        <w:rPr>
          <w:lang w:eastAsia="ru-RU"/>
        </w:rPr>
        <w:t>эксплуатирующихся</w:t>
      </w:r>
      <w:proofErr w:type="spellEnd"/>
      <w:r>
        <w:rPr>
          <w:lang w:eastAsia="ru-RU"/>
        </w:rPr>
        <w:t xml:space="preserve"> участках, с 2012 г. планировалось бурение и ввод в </w:t>
      </w:r>
      <w:r>
        <w:rPr>
          <w:lang w:eastAsia="ru-RU"/>
        </w:rPr>
        <w:lastRenderedPageBreak/>
        <w:t>эксплуатацию четвертого, пятого и шестого участков.</w:t>
      </w:r>
      <w:proofErr w:type="gramEnd"/>
      <w:r>
        <w:rPr>
          <w:lang w:eastAsia="ru-RU"/>
        </w:rPr>
        <w:t xml:space="preserve"> Кроме того, на третьем участке с 2012 г. предполагалась организация водогазового воздействия на пласт БУ</w:t>
      </w:r>
      <w:r w:rsidRPr="00DF658F">
        <w:rPr>
          <w:vertAlign w:val="subscript"/>
          <w:lang w:eastAsia="ru-RU"/>
        </w:rPr>
        <w:t>11</w:t>
      </w:r>
      <w:r>
        <w:rPr>
          <w:lang w:eastAsia="ru-RU"/>
        </w:rPr>
        <w:t xml:space="preserve"> с целью повышения коэффициента текущей и конечной </w:t>
      </w:r>
      <w:proofErr w:type="spellStart"/>
      <w:r>
        <w:rPr>
          <w:lang w:eastAsia="ru-RU"/>
        </w:rPr>
        <w:t>нефтеотдачи</w:t>
      </w:r>
      <w:proofErr w:type="spellEnd"/>
      <w:r>
        <w:rPr>
          <w:lang w:eastAsia="ru-RU"/>
        </w:rPr>
        <w:t xml:space="preserve"> (рисунок 1). Однако до настоящего времени в полном объеме реализована лишь программа ГТМ на разрабатываемых участках.</w:t>
      </w:r>
    </w:p>
    <w:p w:rsidR="009540F5" w:rsidRDefault="009540F5" w:rsidP="009540F5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В пласте БУ</w:t>
      </w:r>
      <w:r>
        <w:rPr>
          <w:vertAlign w:val="subscript"/>
          <w:lang w:eastAsia="ru-RU"/>
        </w:rPr>
        <w:t>11</w:t>
      </w:r>
      <w:r w:rsidRPr="00685B78">
        <w:rPr>
          <w:vertAlign w:val="superscript"/>
          <w:lang w:eastAsia="ru-RU"/>
        </w:rPr>
        <w:t>2</w:t>
      </w:r>
      <w:r>
        <w:rPr>
          <w:lang w:eastAsia="ru-RU"/>
        </w:rPr>
        <w:t xml:space="preserve"> выделено четыре нефтегазоконденсатные залежи.</w:t>
      </w:r>
    </w:p>
    <w:p w:rsidR="009540F5" w:rsidRPr="00B57F85" w:rsidRDefault="009540F5" w:rsidP="009540F5">
      <w:pPr>
        <w:spacing w:line="240" w:lineRule="auto"/>
        <w:ind w:firstLine="709"/>
        <w:rPr>
          <w:lang w:eastAsia="ru-RU"/>
        </w:rPr>
      </w:pPr>
      <w:r>
        <w:rPr>
          <w:lang w:eastAsia="ru-RU"/>
        </w:rPr>
        <w:t>Пласт испытан в 23 скважинах, из них притоки газа получены в пяти, нефти – в 11, нефть с газом – в одной, нефть с водой – в пяти и приток воды получен в одной скважине. В некоторых скважинах приток воды связан с частичным сцеплением цементного камня с колонной.</w:t>
      </w:r>
    </w:p>
    <w:p w:rsidR="009540F5" w:rsidRDefault="009540F5" w:rsidP="009540F5">
      <w:pPr>
        <w:spacing w:line="240" w:lineRule="auto"/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eastAsia="ru-RU"/>
        </w:rPr>
        <w:drawing>
          <wp:inline distT="0" distB="0" distL="0" distR="0" wp14:anchorId="648E01BB" wp14:editId="36E55187">
            <wp:extent cx="5773003" cy="3756527"/>
            <wp:effectExtent l="0" t="0" r="0" b="0"/>
            <wp:docPr id="52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5622" cy="375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540F5" w:rsidRDefault="009540F5" w:rsidP="009540F5">
      <w:pPr>
        <w:spacing w:line="240" w:lineRule="auto"/>
        <w:jc w:val="center"/>
      </w:pPr>
      <w:bookmarkStart w:id="1" w:name="_bookmark61"/>
      <w:bookmarkEnd w:id="1"/>
      <w:r w:rsidRPr="00F11692">
        <w:t>Рисунок</w:t>
      </w:r>
      <w:r w:rsidRPr="00F11692">
        <w:rPr>
          <w:spacing w:val="-10"/>
        </w:rPr>
        <w:t xml:space="preserve"> </w:t>
      </w:r>
      <w:r>
        <w:rPr>
          <w:spacing w:val="-10"/>
        </w:rPr>
        <w:t>1</w:t>
      </w:r>
      <w:r w:rsidRPr="00F11692">
        <w:rPr>
          <w:spacing w:val="-9"/>
        </w:rPr>
        <w:t xml:space="preserve"> </w:t>
      </w:r>
      <w:r w:rsidRPr="00F11692">
        <w:t>-</w:t>
      </w:r>
      <w:r w:rsidRPr="00F11692">
        <w:rPr>
          <w:spacing w:val="-8"/>
        </w:rPr>
        <w:t xml:space="preserve"> </w:t>
      </w:r>
      <w:r w:rsidRPr="00F11692">
        <w:t>Схема</w:t>
      </w:r>
      <w:r w:rsidRPr="00F11692">
        <w:rPr>
          <w:spacing w:val="-10"/>
        </w:rPr>
        <w:t xml:space="preserve"> </w:t>
      </w:r>
      <w:r w:rsidRPr="00F11692">
        <w:t>реализации</w:t>
      </w:r>
      <w:r w:rsidRPr="00F11692">
        <w:rPr>
          <w:spacing w:val="-10"/>
        </w:rPr>
        <w:t xml:space="preserve"> </w:t>
      </w:r>
      <w:r w:rsidRPr="00F11692">
        <w:t>системы</w:t>
      </w:r>
      <w:r w:rsidRPr="00F11692">
        <w:rPr>
          <w:spacing w:val="-9"/>
        </w:rPr>
        <w:t xml:space="preserve"> </w:t>
      </w:r>
      <w:r w:rsidRPr="00F11692">
        <w:t>ППД</w:t>
      </w:r>
    </w:p>
    <w:p w:rsidR="009540F5" w:rsidRDefault="009540F5" w:rsidP="009540F5">
      <w:pPr>
        <w:spacing w:line="240" w:lineRule="auto"/>
        <w:ind w:firstLine="709"/>
      </w:pPr>
    </w:p>
    <w:p w:rsidR="009540F5" w:rsidRDefault="009540F5" w:rsidP="009540F5">
      <w:pPr>
        <w:spacing w:line="240" w:lineRule="auto"/>
        <w:ind w:firstLine="709"/>
      </w:pPr>
      <w:r>
        <w:t xml:space="preserve">Так как разработка нефтяных оторочек сопровождается серьезными трудностями, вызванными развитием гребней или конусов воды и/или газа с дальнейшим прорывом их в зону отбора – к эксплуатационным скважинам, во времена СССР применялось </w:t>
      </w:r>
      <w:proofErr w:type="gramStart"/>
      <w:r>
        <w:t>барьерное</w:t>
      </w:r>
      <w:proofErr w:type="gramEnd"/>
      <w:r>
        <w:t xml:space="preserve"> </w:t>
      </w:r>
      <w:proofErr w:type="spellStart"/>
      <w:r>
        <w:t>заводнение</w:t>
      </w:r>
      <w:proofErr w:type="spellEnd"/>
      <w:r>
        <w:t>.</w:t>
      </w:r>
    </w:p>
    <w:p w:rsidR="009540F5" w:rsidRDefault="009540F5" w:rsidP="009540F5">
      <w:pPr>
        <w:spacing w:line="240" w:lineRule="auto"/>
        <w:ind w:firstLine="709"/>
      </w:pPr>
      <w:r>
        <w:t xml:space="preserve">Тем не менее, эффективность использования барьерного </w:t>
      </w:r>
      <w:proofErr w:type="spellStart"/>
      <w:r>
        <w:t>заводнения</w:t>
      </w:r>
      <w:proofErr w:type="spellEnd"/>
      <w:r>
        <w:t xml:space="preserve"> возможно исключительно на залежах со средними или высокими проводимостями продуктивных коллекторов, при этом площади контакта нефти с внутренним газонефтяным контактом (ГНК) и внешним водонефтяными контактом (ВНК) должны быть существенными.</w:t>
      </w:r>
    </w:p>
    <w:p w:rsidR="009540F5" w:rsidRDefault="009540F5" w:rsidP="009540F5">
      <w:pPr>
        <w:spacing w:line="240" w:lineRule="auto"/>
        <w:ind w:firstLine="709"/>
      </w:pPr>
      <w:r>
        <w:t xml:space="preserve">Данные условия для большинства залежей </w:t>
      </w:r>
      <w:proofErr w:type="spellStart"/>
      <w:r>
        <w:t>Уренгойского</w:t>
      </w:r>
      <w:proofErr w:type="spellEnd"/>
      <w:r>
        <w:t xml:space="preserve"> месторождения не выполняются. Так как пласты БУ имеют сложное геологическое строение, низкие проводимости, высокую анизотропию, </w:t>
      </w:r>
      <w:r>
        <w:lastRenderedPageBreak/>
        <w:t xml:space="preserve">крайне малые </w:t>
      </w:r>
      <w:proofErr w:type="spellStart"/>
      <w:r>
        <w:t>нефтенасыщенные</w:t>
      </w:r>
      <w:proofErr w:type="spellEnd"/>
      <w:r>
        <w:t xml:space="preserve"> толщины. Эти обстоятельства пока ограничивают эффективность использования барьерного </w:t>
      </w:r>
      <w:proofErr w:type="spellStart"/>
      <w:r>
        <w:t>заводнения</w:t>
      </w:r>
      <w:proofErr w:type="spellEnd"/>
      <w:r>
        <w:t xml:space="preserve">. </w:t>
      </w:r>
      <w:r>
        <w:t>Последнее</w:t>
      </w:r>
      <w:r>
        <w:t xml:space="preserve"> обусловлено тем, что сформировать систему обустройства</w:t>
      </w:r>
      <w:r>
        <w:t>,</w:t>
      </w:r>
      <w:r>
        <w:t xml:space="preserve"> </w:t>
      </w:r>
      <w:r>
        <w:t xml:space="preserve">которая будет </w:t>
      </w:r>
      <w:r>
        <w:t>обеспечива</w:t>
      </w:r>
      <w:r>
        <w:t>ть</w:t>
      </w:r>
      <w:r>
        <w:t xml:space="preserve"> распредел</w:t>
      </w:r>
      <w:r>
        <w:t>ё</w:t>
      </w:r>
      <w:r>
        <w:t>нное</w:t>
      </w:r>
      <w:r>
        <w:t xml:space="preserve"> </w:t>
      </w:r>
      <w:r>
        <w:t>нагнетани</w:t>
      </w:r>
      <w:r>
        <w:t>е воды своевременно невозможно</w:t>
      </w:r>
      <w:r>
        <w:t xml:space="preserve"> в ближайшие</w:t>
      </w:r>
      <w:r>
        <w:t xml:space="preserve"> пять-десять лет.</w:t>
      </w:r>
      <w:r>
        <w:t xml:space="preserve"> </w:t>
      </w:r>
    </w:p>
    <w:p w:rsidR="00EB20C9" w:rsidRDefault="00EB20C9" w:rsidP="00EB20C9">
      <w:pPr>
        <w:spacing w:line="240" w:lineRule="auto"/>
        <w:ind w:firstLine="709"/>
      </w:pPr>
    </w:p>
    <w:p w:rsidR="00692E86" w:rsidRDefault="00692E86" w:rsidP="00723319">
      <w:pPr>
        <w:spacing w:line="240" w:lineRule="auto"/>
        <w:ind w:firstLine="709"/>
        <w:jc w:val="center"/>
      </w:pPr>
      <w:r>
        <w:t>Библиографический список</w:t>
      </w:r>
    </w:p>
    <w:p w:rsidR="004E158F" w:rsidRDefault="009540F5" w:rsidP="004E158F">
      <w:pPr>
        <w:spacing w:line="240" w:lineRule="auto"/>
        <w:ind w:firstLine="709"/>
      </w:pPr>
      <w:r>
        <w:t>1</w:t>
      </w:r>
      <w:r w:rsidRPr="009540F5">
        <w:t>.</w:t>
      </w:r>
      <w:r w:rsidRPr="009540F5">
        <w:tab/>
      </w:r>
      <w:proofErr w:type="spellStart"/>
      <w:r w:rsidRPr="009540F5">
        <w:t>Гавура</w:t>
      </w:r>
      <w:proofErr w:type="spellEnd"/>
      <w:r w:rsidRPr="009540F5">
        <w:t xml:space="preserve"> В.Е. Геология и разработка нефтяных и газонефтяных месторождений. - М.: ВНИИОЭНГ, 1995. – 496 с.</w:t>
      </w:r>
    </w:p>
    <w:p w:rsidR="009540F5" w:rsidRDefault="009540F5" w:rsidP="004E158F">
      <w:pPr>
        <w:spacing w:line="240" w:lineRule="auto"/>
        <w:ind w:firstLine="709"/>
      </w:pPr>
      <w:r>
        <w:t>2</w:t>
      </w:r>
      <w:r w:rsidRPr="009540F5">
        <w:t>.</w:t>
      </w:r>
      <w:r w:rsidRPr="009540F5">
        <w:tab/>
        <w:t xml:space="preserve">Крылов А. П. Научные основы разработки нефтяных месторождений. / А.П. Крылов, М.М. </w:t>
      </w:r>
      <w:proofErr w:type="spellStart"/>
      <w:r w:rsidRPr="009540F5">
        <w:t>Глоговский</w:t>
      </w:r>
      <w:proofErr w:type="spellEnd"/>
      <w:r w:rsidRPr="009540F5">
        <w:t xml:space="preserve">, М. Ф. </w:t>
      </w:r>
      <w:proofErr w:type="spellStart"/>
      <w:r w:rsidRPr="009540F5">
        <w:t>Мирчинк</w:t>
      </w:r>
      <w:proofErr w:type="spellEnd"/>
      <w:r w:rsidRPr="009540F5">
        <w:t xml:space="preserve">, Н.М. Николаевский, И.А. </w:t>
      </w:r>
      <w:proofErr w:type="spellStart"/>
      <w:r w:rsidRPr="009540F5">
        <w:t>Чарный</w:t>
      </w:r>
      <w:proofErr w:type="spellEnd"/>
      <w:r w:rsidRPr="009540F5">
        <w:t xml:space="preserve"> // — Москв</w:t>
      </w:r>
      <w:proofErr w:type="gramStart"/>
      <w:r w:rsidRPr="009540F5">
        <w:t>а-</w:t>
      </w:r>
      <w:proofErr w:type="gramEnd"/>
      <w:r w:rsidRPr="009540F5">
        <w:t xml:space="preserve"> Ижевск: Институт компьютерных исследований, 2004, 416 стр.</w:t>
      </w:r>
    </w:p>
    <w:p w:rsidR="009540F5" w:rsidRDefault="009540F5" w:rsidP="004E158F">
      <w:pPr>
        <w:spacing w:line="240" w:lineRule="auto"/>
        <w:ind w:firstLine="709"/>
      </w:pPr>
    </w:p>
    <w:p w:rsidR="009540F5" w:rsidRDefault="009540F5" w:rsidP="004E158F">
      <w:pPr>
        <w:spacing w:line="240" w:lineRule="auto"/>
        <w:ind w:firstLine="709"/>
      </w:pPr>
    </w:p>
    <w:sectPr w:rsidR="009540F5" w:rsidSect="00EB20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3"/>
    <w:rsid w:val="001A1BD3"/>
    <w:rsid w:val="004E158F"/>
    <w:rsid w:val="006558C0"/>
    <w:rsid w:val="00692E86"/>
    <w:rsid w:val="00723319"/>
    <w:rsid w:val="0084112A"/>
    <w:rsid w:val="008F3F9E"/>
    <w:rsid w:val="009540F5"/>
    <w:rsid w:val="009E3573"/>
    <w:rsid w:val="00AF53F0"/>
    <w:rsid w:val="00BF299A"/>
    <w:rsid w:val="00DF7C29"/>
    <w:rsid w:val="00EB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73"/>
    <w:pPr>
      <w:spacing w:line="360" w:lineRule="auto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3573"/>
    <w:pPr>
      <w:keepNext/>
      <w:widowControl w:val="0"/>
      <w:shd w:val="clear" w:color="auto" w:fill="FFFFFF"/>
      <w:jc w:val="center"/>
      <w:outlineLvl w:val="0"/>
    </w:pPr>
    <w:rPr>
      <w:rFonts w:eastAsiaTheme="majorEastAsia" w:cstheme="majorBidi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12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573"/>
    <w:rPr>
      <w:rFonts w:eastAsiaTheme="majorEastAsia" w:cstheme="majorBidi"/>
      <w:b/>
      <w:bCs/>
      <w:sz w:val="28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112A"/>
    <w:rPr>
      <w:rFonts w:ascii="Cambria" w:hAnsi="Cambria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84112A"/>
    <w:rPr>
      <w:rFonts w:cs="Times New Roman"/>
      <w:b/>
      <w:bCs/>
    </w:rPr>
  </w:style>
  <w:style w:type="table" w:styleId="a4">
    <w:name w:val="Table Grid"/>
    <w:basedOn w:val="a1"/>
    <w:uiPriority w:val="59"/>
    <w:rsid w:val="00EB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E158F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1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58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rsid w:val="009540F5"/>
    <w:pPr>
      <w:widowControl w:val="0"/>
      <w:spacing w:before="5" w:line="240" w:lineRule="auto"/>
      <w:ind w:left="178" w:firstLine="709"/>
      <w:jc w:val="left"/>
    </w:pPr>
    <w:rPr>
      <w:rFonts w:cstheme="minorBidi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9540F5"/>
    <w:rPr>
      <w:rFonts w:cstheme="minorBidi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73"/>
    <w:pPr>
      <w:spacing w:line="360" w:lineRule="auto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9E3573"/>
    <w:pPr>
      <w:keepNext/>
      <w:widowControl w:val="0"/>
      <w:shd w:val="clear" w:color="auto" w:fill="FFFFFF"/>
      <w:jc w:val="center"/>
      <w:outlineLvl w:val="0"/>
    </w:pPr>
    <w:rPr>
      <w:rFonts w:eastAsiaTheme="majorEastAsia" w:cstheme="majorBidi"/>
      <w:b/>
      <w:bCs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12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573"/>
    <w:rPr>
      <w:rFonts w:eastAsiaTheme="majorEastAsia" w:cstheme="majorBidi"/>
      <w:b/>
      <w:bCs/>
      <w:sz w:val="28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112A"/>
    <w:rPr>
      <w:rFonts w:ascii="Cambria" w:hAnsi="Cambria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84112A"/>
    <w:rPr>
      <w:rFonts w:cs="Times New Roman"/>
      <w:b/>
      <w:bCs/>
    </w:rPr>
  </w:style>
  <w:style w:type="table" w:styleId="a4">
    <w:name w:val="Table Grid"/>
    <w:basedOn w:val="a1"/>
    <w:uiPriority w:val="59"/>
    <w:rsid w:val="00EB2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E158F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1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58F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rsid w:val="009540F5"/>
    <w:pPr>
      <w:widowControl w:val="0"/>
      <w:spacing w:before="5" w:line="240" w:lineRule="auto"/>
      <w:ind w:left="178" w:firstLine="709"/>
      <w:jc w:val="left"/>
    </w:pPr>
    <w:rPr>
      <w:rFonts w:cstheme="minorBidi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9540F5"/>
    <w:rPr>
      <w:rFonts w:cstheme="minorBidi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4</cp:revision>
  <dcterms:created xsi:type="dcterms:W3CDTF">2020-09-15T15:40:00Z</dcterms:created>
  <dcterms:modified xsi:type="dcterms:W3CDTF">2021-01-14T22:27:00Z</dcterms:modified>
</cp:coreProperties>
</file>