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793" w:rsidRPr="00A64793" w:rsidRDefault="00A64793" w:rsidP="00A64793">
      <w:pPr>
        <w:tabs>
          <w:tab w:val="left" w:pos="3433"/>
        </w:tabs>
        <w:spacing w:after="200"/>
        <w:ind w:firstLine="0"/>
        <w:jc w:val="center"/>
        <w:rPr>
          <w:rFonts w:eastAsia="Calibri" w:cs="Times New Roman"/>
          <w:b/>
        </w:rPr>
      </w:pPr>
      <w:r w:rsidRPr="00A64793">
        <w:rPr>
          <w:rFonts w:eastAsia="Calibri" w:cs="Times New Roman"/>
          <w:b/>
        </w:rPr>
        <w:t>УГОЛОВНАЯ ОТВЕТСТВЕННОСТЬ ЗА ВОВЛЕЧЕНИЕ НЕСОВЕРШЕННОЛЕТНЕГО В СОВЕРШЕНИЕ ДЕЙСТВИЙ, ПРЕДСТАВЛЯЮЩИХ ОПАСНОСТЬ ДЛЯ ЖИЗНИ НЕСОВРЕШЕННОЛЕТНЕГО.</w:t>
      </w:r>
    </w:p>
    <w:p w:rsidR="00A64793" w:rsidRPr="00A64793" w:rsidRDefault="00EE78B1" w:rsidP="00A64793">
      <w:pPr>
        <w:tabs>
          <w:tab w:val="left" w:pos="3433"/>
        </w:tabs>
        <w:spacing w:after="200"/>
        <w:ind w:firstLine="0"/>
        <w:jc w:val="center"/>
        <w:rPr>
          <w:rFonts w:eastAsia="Calibri" w:cs="Times New Roman"/>
          <w:b/>
          <w:bCs/>
        </w:rPr>
      </w:pPr>
      <w:r>
        <w:rPr>
          <w:rFonts w:eastAsia="Calibri" w:cs="Times New Roman"/>
          <w:b/>
          <w:bCs/>
        </w:rPr>
        <w:t>Дмитриенко Максим Евгеньевич</w:t>
      </w:r>
      <w:r w:rsidR="00A64793" w:rsidRPr="00A64793">
        <w:rPr>
          <w:rFonts w:eastAsia="Calibri" w:cs="Times New Roman"/>
          <w:b/>
          <w:bCs/>
        </w:rPr>
        <w:t>, студент</w:t>
      </w:r>
    </w:p>
    <w:p w:rsidR="00A64793" w:rsidRPr="00A64793" w:rsidRDefault="00A64793" w:rsidP="00A64793">
      <w:pPr>
        <w:tabs>
          <w:tab w:val="left" w:pos="3433"/>
        </w:tabs>
        <w:spacing w:after="200"/>
        <w:ind w:firstLine="0"/>
        <w:jc w:val="center"/>
        <w:rPr>
          <w:rFonts w:eastAsia="Calibri" w:cs="Times New Roman"/>
          <w:b/>
          <w:bCs/>
        </w:rPr>
      </w:pPr>
      <w:r w:rsidRPr="00A64793">
        <w:rPr>
          <w:rFonts w:eastAsia="Calibri" w:cs="Times New Roman"/>
          <w:b/>
          <w:bCs/>
        </w:rPr>
        <w:t>Тихоокеанского государственного университета, Хабаровск, Россия</w:t>
      </w:r>
    </w:p>
    <w:p w:rsidR="00A64793" w:rsidRPr="00A64793" w:rsidRDefault="00EE78B1" w:rsidP="00A64793">
      <w:pPr>
        <w:tabs>
          <w:tab w:val="left" w:pos="3433"/>
        </w:tabs>
        <w:spacing w:after="200"/>
        <w:ind w:firstLine="0"/>
        <w:jc w:val="center"/>
        <w:rPr>
          <w:rFonts w:eastAsia="Calibri" w:cs="Times New Roman"/>
          <w:b/>
          <w:bCs/>
        </w:rPr>
      </w:pPr>
      <w:r w:rsidRPr="00963015">
        <w:rPr>
          <w:rFonts w:eastAsia="Calibri" w:cs="Times New Roman"/>
          <w:b/>
          <w:sz w:val="24"/>
          <w:szCs w:val="24"/>
        </w:rPr>
        <w:t>2015102980</w:t>
      </w:r>
      <w:hyperlink r:id="rId5" w:history="1">
        <w:r w:rsidR="00A64793" w:rsidRPr="00A64793">
          <w:rPr>
            <w:rFonts w:eastAsia="Calibri" w:cs="Times New Roman"/>
            <w:b/>
            <w:bCs/>
            <w:color w:val="0000FF"/>
            <w:u w:val="single"/>
          </w:rPr>
          <w:t>@pnu.edu.ru</w:t>
        </w:r>
      </w:hyperlink>
    </w:p>
    <w:p w:rsidR="00A64793" w:rsidRPr="00A64793" w:rsidRDefault="00A64793" w:rsidP="00A64793">
      <w:pPr>
        <w:tabs>
          <w:tab w:val="left" w:pos="3433"/>
        </w:tabs>
        <w:spacing w:after="200"/>
        <w:ind w:firstLine="0"/>
        <w:jc w:val="center"/>
        <w:rPr>
          <w:rFonts w:eastAsia="Calibri" w:cs="Times New Roman"/>
          <w:b/>
          <w:bCs/>
        </w:rPr>
      </w:pPr>
      <w:r w:rsidRPr="00A64793">
        <w:rPr>
          <w:rFonts w:eastAsia="Calibri" w:cs="Times New Roman"/>
          <w:b/>
          <w:bCs/>
        </w:rPr>
        <w:t xml:space="preserve">Научный руководитель: </w:t>
      </w:r>
      <w:r w:rsidR="00963015" w:rsidRPr="00963015">
        <w:rPr>
          <w:rFonts w:eastAsia="Calibri" w:cs="Times New Roman"/>
          <w:b/>
          <w:bCs/>
        </w:rPr>
        <w:t>Заведующий кафедрой</w:t>
      </w:r>
      <w:r w:rsidR="00963015">
        <w:rPr>
          <w:rFonts w:eastAsia="Calibri" w:cs="Times New Roman"/>
          <w:b/>
          <w:bCs/>
        </w:rPr>
        <w:t xml:space="preserve"> ГПД</w:t>
      </w:r>
      <w:r w:rsidR="00963015" w:rsidRPr="00963015">
        <w:rPr>
          <w:rFonts w:eastAsia="Calibri" w:cs="Times New Roman"/>
          <w:b/>
          <w:bCs/>
        </w:rPr>
        <w:t>, кандидат юридических наук, доцент</w:t>
      </w:r>
      <w:r w:rsidR="00963015">
        <w:rPr>
          <w:rFonts w:eastAsia="Calibri" w:cs="Times New Roman"/>
          <w:b/>
          <w:bCs/>
        </w:rPr>
        <w:t xml:space="preserve">. </w:t>
      </w:r>
      <w:r w:rsidRPr="00A64793">
        <w:rPr>
          <w:rFonts w:eastAsia="Calibri" w:cs="Times New Roman"/>
          <w:b/>
          <w:bCs/>
        </w:rPr>
        <w:t xml:space="preserve">Государственно-правовых дисциплин </w:t>
      </w:r>
      <w:r w:rsidR="00D736CE">
        <w:rPr>
          <w:rFonts w:eastAsia="Calibri" w:cs="Times New Roman"/>
          <w:b/>
          <w:bCs/>
        </w:rPr>
        <w:t xml:space="preserve">Чернова Ольга Анатольевн. </w:t>
      </w:r>
      <w:r w:rsidR="00EE78B1">
        <w:rPr>
          <w:rFonts w:eastAsia="Calibri" w:cs="Times New Roman"/>
          <w:b/>
          <w:bCs/>
        </w:rPr>
        <w:t xml:space="preserve"> </w:t>
      </w:r>
      <w:bookmarkStart w:id="0" w:name="_GoBack"/>
      <w:r w:rsidRPr="00A64793">
        <w:rPr>
          <w:rFonts w:eastAsia="Calibri" w:cs="Times New Roman"/>
          <w:b/>
          <w:bCs/>
        </w:rPr>
        <w:t>Тихоокеанский государственный университет, Хабаровск, Россия</w:t>
      </w:r>
    </w:p>
    <w:bookmarkEnd w:id="0"/>
    <w:p w:rsidR="00A64793" w:rsidRPr="00A64793" w:rsidRDefault="00A64793" w:rsidP="00A64793">
      <w:pPr>
        <w:tabs>
          <w:tab w:val="left" w:pos="3433"/>
        </w:tabs>
        <w:spacing w:after="200"/>
        <w:ind w:firstLine="0"/>
        <w:jc w:val="center"/>
        <w:rPr>
          <w:rFonts w:eastAsia="Calibri" w:cs="Times New Roman"/>
        </w:rPr>
      </w:pPr>
    </w:p>
    <w:p w:rsidR="00A64793" w:rsidRPr="00A64793" w:rsidRDefault="00A64793" w:rsidP="00A64793">
      <w:pPr>
        <w:tabs>
          <w:tab w:val="left" w:pos="3433"/>
        </w:tabs>
        <w:spacing w:after="200"/>
        <w:ind w:firstLine="0"/>
        <w:jc w:val="center"/>
        <w:rPr>
          <w:rFonts w:eastAsia="Calibri" w:cs="Times New Roman"/>
        </w:rPr>
      </w:pPr>
    </w:p>
    <w:p w:rsidR="00A64793" w:rsidRPr="00A64793" w:rsidRDefault="00A64793" w:rsidP="00A64793">
      <w:pPr>
        <w:tabs>
          <w:tab w:val="left" w:pos="3433"/>
        </w:tabs>
        <w:spacing w:after="200"/>
        <w:ind w:firstLine="0"/>
        <w:jc w:val="center"/>
        <w:rPr>
          <w:rFonts w:eastAsia="Calibri" w:cs="Times New Roman"/>
        </w:rPr>
      </w:pPr>
      <w:r w:rsidRPr="00A64793">
        <w:rPr>
          <w:rFonts w:eastAsia="Calibri" w:cs="Times New Roman"/>
          <w:b/>
        </w:rPr>
        <w:t>Аннотация</w:t>
      </w:r>
      <w:r w:rsidRPr="00A64793">
        <w:rPr>
          <w:rFonts w:eastAsia="Calibri" w:cs="Times New Roman"/>
        </w:rPr>
        <w:t>: цель представленной работы –</w:t>
      </w:r>
      <w:r w:rsidR="0069112E">
        <w:rPr>
          <w:rFonts w:eastAsia="Calibri" w:cs="Times New Roman"/>
        </w:rPr>
        <w:t xml:space="preserve"> изучить влияние общества на вовлечение несовершеннолетних в совершение действий представляющих опасность их жизни и здоровья.</w:t>
      </w:r>
    </w:p>
    <w:p w:rsidR="00A64793" w:rsidRPr="0069112E" w:rsidRDefault="00A64793" w:rsidP="00A64793">
      <w:pPr>
        <w:tabs>
          <w:tab w:val="left" w:pos="3433"/>
        </w:tabs>
        <w:spacing w:after="200"/>
        <w:ind w:firstLine="0"/>
        <w:jc w:val="center"/>
        <w:rPr>
          <w:rFonts w:eastAsia="Calibri" w:cs="Times New Roman"/>
        </w:rPr>
      </w:pPr>
      <w:r w:rsidRPr="00A64793">
        <w:rPr>
          <w:rFonts w:eastAsia="Calibri" w:cs="Times New Roman"/>
          <w:b/>
        </w:rPr>
        <w:t>Ключевые</w:t>
      </w:r>
      <w:r w:rsidRPr="0069112E">
        <w:rPr>
          <w:rFonts w:eastAsia="Calibri" w:cs="Times New Roman"/>
          <w:b/>
        </w:rPr>
        <w:t xml:space="preserve"> </w:t>
      </w:r>
      <w:r w:rsidR="0069112E" w:rsidRPr="00A64793">
        <w:rPr>
          <w:rFonts w:eastAsia="Calibri" w:cs="Times New Roman"/>
          <w:b/>
        </w:rPr>
        <w:t>слова</w:t>
      </w:r>
      <w:r w:rsidR="0069112E" w:rsidRPr="0069112E">
        <w:rPr>
          <w:rFonts w:eastAsia="Calibri" w:cs="Times New Roman"/>
        </w:rPr>
        <w:t>: преступлени</w:t>
      </w:r>
      <w:r w:rsidR="0069112E">
        <w:rPr>
          <w:rFonts w:eastAsia="Calibri" w:cs="Times New Roman"/>
        </w:rPr>
        <w:t>е, бродяжничество, несовершеннолетние, закон, наказание.</w:t>
      </w:r>
    </w:p>
    <w:p w:rsidR="00A64793" w:rsidRPr="0069112E" w:rsidRDefault="00A64793" w:rsidP="00A64793">
      <w:pPr>
        <w:tabs>
          <w:tab w:val="left" w:pos="3433"/>
        </w:tabs>
        <w:spacing w:after="200"/>
        <w:ind w:firstLine="0"/>
        <w:jc w:val="center"/>
        <w:rPr>
          <w:rFonts w:eastAsia="Calibri" w:cs="Times New Roman"/>
          <w:b/>
        </w:rPr>
      </w:pPr>
    </w:p>
    <w:p w:rsidR="00A64793" w:rsidRPr="00A64793" w:rsidRDefault="00EE78B1" w:rsidP="00A64793">
      <w:pPr>
        <w:tabs>
          <w:tab w:val="left" w:pos="3433"/>
        </w:tabs>
        <w:spacing w:after="200"/>
        <w:ind w:firstLine="0"/>
        <w:jc w:val="center"/>
        <w:rPr>
          <w:rFonts w:eastAsia="Calibri" w:cs="Times New Roman"/>
          <w:b/>
          <w:lang w:val="en-US"/>
        </w:rPr>
      </w:pPr>
      <w:proofErr w:type="spellStart"/>
      <w:r>
        <w:rPr>
          <w:rFonts w:eastAsia="Calibri" w:cs="Times New Roman"/>
          <w:b/>
          <w:lang w:val="en-US"/>
        </w:rPr>
        <w:t>Dmitrienko</w:t>
      </w:r>
      <w:proofErr w:type="spellEnd"/>
      <w:r>
        <w:rPr>
          <w:rFonts w:eastAsia="Calibri" w:cs="Times New Roman"/>
          <w:b/>
          <w:lang w:val="en-US"/>
        </w:rPr>
        <w:t xml:space="preserve"> Maksim </w:t>
      </w:r>
      <w:proofErr w:type="spellStart"/>
      <w:r>
        <w:rPr>
          <w:rFonts w:eastAsia="Calibri" w:cs="Times New Roman"/>
          <w:b/>
          <w:lang w:val="en-US"/>
        </w:rPr>
        <w:t>Evgenevich</w:t>
      </w:r>
      <w:proofErr w:type="spellEnd"/>
      <w:r w:rsidR="00A64793" w:rsidRPr="00A64793">
        <w:rPr>
          <w:rFonts w:eastAsia="Calibri" w:cs="Times New Roman"/>
          <w:b/>
          <w:lang w:val="en-US"/>
        </w:rPr>
        <w:t>, student</w:t>
      </w:r>
    </w:p>
    <w:p w:rsidR="00A64793" w:rsidRPr="00A64793" w:rsidRDefault="00A64793" w:rsidP="00A64793">
      <w:pPr>
        <w:tabs>
          <w:tab w:val="left" w:pos="3433"/>
        </w:tabs>
        <w:spacing w:after="200"/>
        <w:ind w:firstLine="0"/>
        <w:jc w:val="center"/>
        <w:rPr>
          <w:rFonts w:eastAsia="Calibri" w:cs="Times New Roman"/>
          <w:b/>
          <w:lang w:val="en-US"/>
        </w:rPr>
      </w:pPr>
      <w:r w:rsidRPr="00A64793">
        <w:rPr>
          <w:rFonts w:eastAsia="Calibri" w:cs="Times New Roman"/>
          <w:b/>
          <w:lang w:val="en-US"/>
        </w:rPr>
        <w:t>Pacific State University, Khabarovsk, Russia</w:t>
      </w:r>
    </w:p>
    <w:p w:rsidR="00A64793" w:rsidRPr="00A64793" w:rsidRDefault="00EE78B1" w:rsidP="00A64793">
      <w:pPr>
        <w:tabs>
          <w:tab w:val="left" w:pos="3433"/>
        </w:tabs>
        <w:spacing w:after="200"/>
        <w:ind w:firstLine="0"/>
        <w:jc w:val="center"/>
        <w:rPr>
          <w:rFonts w:eastAsia="Calibri" w:cs="Times New Roman"/>
          <w:b/>
          <w:lang w:val="en-US"/>
        </w:rPr>
      </w:pPr>
      <w:r>
        <w:rPr>
          <w:rFonts w:eastAsia="Calibri" w:cs="Times New Roman"/>
          <w:b/>
          <w:lang w:val="en-US"/>
        </w:rPr>
        <w:t>2015102980</w:t>
      </w:r>
      <w:r w:rsidR="00A64793" w:rsidRPr="00A64793">
        <w:rPr>
          <w:rFonts w:eastAsia="Calibri" w:cs="Times New Roman"/>
          <w:b/>
          <w:lang w:val="en-US"/>
        </w:rPr>
        <w:t>@pnu.edu.ru</w:t>
      </w:r>
    </w:p>
    <w:p w:rsidR="00A64793" w:rsidRPr="00A64793" w:rsidRDefault="00A64793" w:rsidP="00963015">
      <w:pPr>
        <w:tabs>
          <w:tab w:val="left" w:pos="3433"/>
        </w:tabs>
        <w:spacing w:after="200"/>
        <w:ind w:firstLine="0"/>
        <w:jc w:val="center"/>
        <w:rPr>
          <w:rFonts w:eastAsia="Calibri" w:cs="Times New Roman"/>
          <w:b/>
          <w:lang w:val="en-US"/>
        </w:rPr>
      </w:pPr>
      <w:r w:rsidRPr="00A64793">
        <w:rPr>
          <w:rFonts w:eastAsia="Calibri" w:cs="Times New Roman"/>
          <w:b/>
          <w:lang w:val="en-US"/>
        </w:rPr>
        <w:t xml:space="preserve">Scientific adviser: </w:t>
      </w:r>
      <w:r w:rsidR="00963015" w:rsidRPr="00963015">
        <w:rPr>
          <w:rFonts w:eastAsia="Calibri" w:cs="Times New Roman"/>
          <w:b/>
          <w:lang w:val="en-US"/>
        </w:rPr>
        <w:t>Head of the Department of GPA, Candidate of Law, Associate Professor</w:t>
      </w:r>
      <w:r w:rsidRPr="00A64793">
        <w:rPr>
          <w:rFonts w:eastAsia="Calibri" w:cs="Times New Roman"/>
          <w:b/>
          <w:lang w:val="en-US"/>
        </w:rPr>
        <w:t xml:space="preserve"> </w:t>
      </w:r>
      <w:r w:rsidR="00EE78B1">
        <w:rPr>
          <w:rFonts w:eastAsia="Calibri" w:cs="Times New Roman"/>
          <w:b/>
          <w:lang w:val="en-US"/>
        </w:rPr>
        <w:t xml:space="preserve">Olga A. </w:t>
      </w:r>
      <w:proofErr w:type="spellStart"/>
      <w:r w:rsidR="00EE78B1">
        <w:rPr>
          <w:rFonts w:eastAsia="Calibri" w:cs="Times New Roman"/>
          <w:b/>
          <w:lang w:val="en-US"/>
        </w:rPr>
        <w:t>Chernova</w:t>
      </w:r>
      <w:proofErr w:type="spellEnd"/>
      <w:r w:rsidR="00EE78B1">
        <w:rPr>
          <w:rFonts w:eastAsia="Calibri" w:cs="Times New Roman"/>
          <w:b/>
          <w:lang w:val="en-US"/>
        </w:rPr>
        <w:t xml:space="preserve"> </w:t>
      </w:r>
      <w:r w:rsidRPr="00A64793">
        <w:rPr>
          <w:rFonts w:eastAsia="Calibri" w:cs="Times New Roman"/>
          <w:b/>
          <w:lang w:val="en-US"/>
        </w:rPr>
        <w:t>Pacific State University, Khabarovsk, Russia</w:t>
      </w:r>
    </w:p>
    <w:p w:rsidR="00A64793" w:rsidRPr="00A64793" w:rsidRDefault="00A64793" w:rsidP="00A64793">
      <w:pPr>
        <w:tabs>
          <w:tab w:val="left" w:pos="3433"/>
        </w:tabs>
        <w:spacing w:after="200"/>
        <w:ind w:firstLine="0"/>
        <w:jc w:val="center"/>
        <w:rPr>
          <w:rFonts w:eastAsia="Calibri" w:cs="Times New Roman"/>
          <w:lang w:val="en-US"/>
        </w:rPr>
      </w:pPr>
    </w:p>
    <w:p w:rsidR="00A64793" w:rsidRPr="00A64793" w:rsidRDefault="00A64793" w:rsidP="00A64793">
      <w:pPr>
        <w:tabs>
          <w:tab w:val="left" w:pos="3433"/>
        </w:tabs>
        <w:spacing w:after="200"/>
        <w:ind w:firstLine="0"/>
        <w:jc w:val="center"/>
        <w:rPr>
          <w:rFonts w:eastAsia="Calibri" w:cs="Times New Roman"/>
          <w:lang w:val="en-US"/>
        </w:rPr>
      </w:pPr>
      <w:r w:rsidRPr="00A64793">
        <w:rPr>
          <w:rFonts w:eastAsia="Calibri" w:cs="Times New Roman"/>
          <w:b/>
          <w:lang w:val="en-US"/>
        </w:rPr>
        <w:t>Resume:</w:t>
      </w:r>
      <w:r w:rsidRPr="00A64793">
        <w:rPr>
          <w:rFonts w:eastAsia="Calibri" w:cs="Times New Roman"/>
          <w:lang w:val="en-US"/>
        </w:rPr>
        <w:t xml:space="preserve"> </w:t>
      </w:r>
      <w:r w:rsidR="0069112E" w:rsidRPr="0069112E">
        <w:rPr>
          <w:rFonts w:eastAsia="Calibri" w:cs="Times New Roman"/>
          <w:lang w:val="en-US"/>
        </w:rPr>
        <w:t>the purpose of the presented work is to study the influence of society on the involvement of minors in the commission of actions that pose a danger to their life and health.</w:t>
      </w:r>
    </w:p>
    <w:p w:rsidR="00A64793" w:rsidRPr="00A64793" w:rsidRDefault="00A64793" w:rsidP="00A64793">
      <w:pPr>
        <w:tabs>
          <w:tab w:val="left" w:pos="3433"/>
        </w:tabs>
        <w:spacing w:after="200"/>
        <w:ind w:firstLine="0"/>
        <w:jc w:val="center"/>
        <w:rPr>
          <w:rFonts w:eastAsia="Calibri" w:cs="Times New Roman"/>
          <w:lang w:val="en-US"/>
        </w:rPr>
      </w:pPr>
    </w:p>
    <w:p w:rsidR="00A64793" w:rsidRDefault="00A64793" w:rsidP="00A64793">
      <w:pPr>
        <w:tabs>
          <w:tab w:val="left" w:pos="3433"/>
        </w:tabs>
        <w:spacing w:after="200"/>
        <w:ind w:firstLine="0"/>
        <w:jc w:val="center"/>
        <w:rPr>
          <w:rFonts w:eastAsia="Calibri" w:cs="Times New Roman"/>
          <w:lang w:val="en-US"/>
        </w:rPr>
      </w:pPr>
      <w:r w:rsidRPr="00A64793">
        <w:rPr>
          <w:rFonts w:eastAsia="Calibri" w:cs="Times New Roman"/>
          <w:b/>
          <w:lang w:val="en-US"/>
        </w:rPr>
        <w:t>Keywords:</w:t>
      </w:r>
      <w:r w:rsidRPr="00A64793">
        <w:rPr>
          <w:rFonts w:eastAsia="Calibri" w:cs="Times New Roman"/>
          <w:lang w:val="en-US"/>
        </w:rPr>
        <w:t xml:space="preserve"> </w:t>
      </w:r>
      <w:r w:rsidR="0069112E" w:rsidRPr="0069112E">
        <w:rPr>
          <w:rFonts w:eastAsia="Calibri" w:cs="Times New Roman"/>
          <w:lang w:val="en-US"/>
        </w:rPr>
        <w:t>crime, vagrancy, minors, law, punishment.</w:t>
      </w:r>
    </w:p>
    <w:p w:rsidR="0069112E" w:rsidRDefault="0069112E" w:rsidP="00A64793">
      <w:pPr>
        <w:tabs>
          <w:tab w:val="left" w:pos="3433"/>
        </w:tabs>
        <w:spacing w:after="200"/>
        <w:ind w:firstLine="0"/>
        <w:jc w:val="center"/>
        <w:rPr>
          <w:rFonts w:eastAsia="Calibri" w:cs="Times New Roman"/>
          <w:lang w:val="en-US"/>
        </w:rPr>
      </w:pPr>
    </w:p>
    <w:p w:rsidR="00A64793" w:rsidRDefault="00A64793" w:rsidP="00A64793">
      <w:pPr>
        <w:tabs>
          <w:tab w:val="left" w:pos="3433"/>
        </w:tabs>
        <w:rPr>
          <w:rFonts w:eastAsia="Calibri" w:cs="Times New Roman"/>
        </w:rPr>
      </w:pPr>
      <w:r w:rsidRPr="00A64793">
        <w:rPr>
          <w:rFonts w:eastAsia="Calibri" w:cs="Times New Roman"/>
        </w:rPr>
        <w:t>В целях обеспечения безопасности жизни и здоровья несовершеннолетних, создания мер, способствующих предупреждению суицида среди детей и противодействию различным формам содействия суициду, а также вовлечению несовершеннолетних в совершение противоправных действий, заведомо представляющих опасность для их жизни, Уголовный кодекс Российской Федерации определяет ответственность.</w:t>
      </w:r>
    </w:p>
    <w:p w:rsidR="00A64793" w:rsidRPr="00A64793" w:rsidRDefault="00A64793" w:rsidP="00A64793">
      <w:pPr>
        <w:tabs>
          <w:tab w:val="left" w:pos="3433"/>
        </w:tabs>
        <w:rPr>
          <w:rFonts w:eastAsia="Calibri" w:cs="Times New Roman"/>
        </w:rPr>
      </w:pPr>
      <w:r w:rsidRPr="00A64793">
        <w:rPr>
          <w:rFonts w:eastAsia="Calibri" w:cs="Times New Roman"/>
        </w:rPr>
        <w:t xml:space="preserve">Под </w:t>
      </w:r>
      <w:r>
        <w:rPr>
          <w:rFonts w:eastAsia="Calibri" w:cs="Times New Roman"/>
        </w:rPr>
        <w:t xml:space="preserve">вовлечением </w:t>
      </w:r>
      <w:r w:rsidRPr="00A64793">
        <w:rPr>
          <w:rFonts w:eastAsia="Calibri" w:cs="Times New Roman"/>
        </w:rPr>
        <w:t>к совершению преступления понимаются действия лица, достигшего совершеннолетия, направленные на возбуждение желания несовершеннолетнего совершить преступление, посредством обещаний, обмана, угроз или иным способом.</w:t>
      </w:r>
    </w:p>
    <w:p w:rsidR="00A64793" w:rsidRPr="00A64793" w:rsidRDefault="00A64793" w:rsidP="00A64793">
      <w:pPr>
        <w:tabs>
          <w:tab w:val="left" w:pos="3433"/>
        </w:tabs>
        <w:rPr>
          <w:rFonts w:eastAsia="Calibri" w:cs="Times New Roman"/>
        </w:rPr>
      </w:pPr>
    </w:p>
    <w:p w:rsidR="00A64793" w:rsidRDefault="00A64793" w:rsidP="00A64793">
      <w:pPr>
        <w:tabs>
          <w:tab w:val="left" w:pos="3433"/>
        </w:tabs>
        <w:rPr>
          <w:rFonts w:eastAsia="Calibri" w:cs="Times New Roman"/>
        </w:rPr>
      </w:pPr>
      <w:r w:rsidRPr="00A64793">
        <w:rPr>
          <w:rFonts w:eastAsia="Calibri" w:cs="Times New Roman"/>
        </w:rPr>
        <w:t xml:space="preserve">Другим способом вовлечения несовершеннолетнего в совершение преступления может быть, например, предложение совершить преступление, возбуждение у несовершеннолетнего чувства зависти, мести и других низменных мотивов, дача советов о мести и способах совершения или сокрытия следов преступления, обещание помощи в реализации похищенного, убеждение, лесть, подкуп, заверение в безнаказанности. Кроме того, методом вовлечения может быть формирование у несовершеннолетнего чувства превосходства над другими или наоборот - подчеркивание его психической </w:t>
      </w:r>
      <w:r w:rsidRPr="00A64793">
        <w:rPr>
          <w:rFonts w:eastAsia="Calibri" w:cs="Times New Roman"/>
        </w:rPr>
        <w:lastRenderedPageBreak/>
        <w:t>или физической неполноценности по отношению к лицу, в отношении которого планируется совершить преступное посягательство.</w:t>
      </w:r>
    </w:p>
    <w:p w:rsidR="00A64793" w:rsidRDefault="00A64793" w:rsidP="00A64793">
      <w:pPr>
        <w:tabs>
          <w:tab w:val="left" w:pos="3433"/>
        </w:tabs>
        <w:rPr>
          <w:rFonts w:eastAsia="Calibri" w:cs="Times New Roman"/>
        </w:rPr>
      </w:pPr>
      <w:r w:rsidRPr="00A64793">
        <w:rPr>
          <w:rFonts w:eastAsia="Calibri" w:cs="Times New Roman"/>
        </w:rPr>
        <w:t>Лицо, совершившее вышеуказанные действия, направленные на вовлечение несовершеннолетнего в совершение преступления, может быть привлечено к уголовной ответственности по ч. 1 ст. 150 УК РФ только при условии достижения им восемнадцатилетнего возраста, и совершившие указанное преступление умышленно. Для установления умышленного характера действий лица необходимо установить, что взрослый осознавал либо допускал, что своими действиями он вовлекает именно несовершеннолетнего в совершение преступления. Если будет установлено, что взрослому не было известно о несовершеннолетии вовлекаемого, либо инициатива совершения преступления исходила от несовершеннолетнего, то в таком случае взрослое лицо не может быть привлечено к уголовной ответственности по ст. 150 УК РФ.</w:t>
      </w:r>
    </w:p>
    <w:p w:rsidR="004F6E87" w:rsidRDefault="004F6E87" w:rsidP="00A64793">
      <w:pPr>
        <w:tabs>
          <w:tab w:val="left" w:pos="3433"/>
        </w:tabs>
        <w:rPr>
          <w:rFonts w:eastAsia="Calibri" w:cs="Times New Roman"/>
        </w:rPr>
      </w:pPr>
    </w:p>
    <w:p w:rsidR="00A64793" w:rsidRDefault="004F6E87" w:rsidP="00A64793">
      <w:pPr>
        <w:tabs>
          <w:tab w:val="left" w:pos="3433"/>
        </w:tabs>
        <w:rPr>
          <w:rFonts w:eastAsia="Calibri" w:cs="Times New Roman"/>
        </w:rPr>
      </w:pPr>
      <w:r w:rsidRPr="004F6E87">
        <w:rPr>
          <w:rFonts w:eastAsia="Calibri" w:cs="Times New Roman"/>
        </w:rPr>
        <w:t>1. Вовлечение несовершеннолетнего в совершение преступления (ст. 150 УК РФ).</w:t>
      </w:r>
    </w:p>
    <w:p w:rsidR="004F6E87" w:rsidRDefault="004F6E87" w:rsidP="00A64793">
      <w:pPr>
        <w:tabs>
          <w:tab w:val="left" w:pos="3433"/>
        </w:tabs>
        <w:rPr>
          <w:rFonts w:eastAsia="Calibri" w:cs="Times New Roman"/>
        </w:rPr>
      </w:pPr>
    </w:p>
    <w:p w:rsidR="004F6E87" w:rsidRDefault="004F6E87" w:rsidP="00A64793">
      <w:pPr>
        <w:tabs>
          <w:tab w:val="left" w:pos="3433"/>
        </w:tabs>
        <w:rPr>
          <w:rFonts w:eastAsia="Calibri" w:cs="Times New Roman"/>
        </w:rPr>
      </w:pPr>
      <w:r w:rsidRPr="004F6E87">
        <w:rPr>
          <w:rFonts w:eastAsia="Calibri" w:cs="Times New Roman"/>
        </w:rPr>
        <w:t>Объектом преступления являются общественные отношения, связанные с обеспечением нормального физического развития, нравственного воспитания несовершеннолетнего.</w:t>
      </w:r>
    </w:p>
    <w:p w:rsidR="004F6E87" w:rsidRDefault="004F6E87" w:rsidP="00A64793">
      <w:pPr>
        <w:tabs>
          <w:tab w:val="left" w:pos="3433"/>
        </w:tabs>
        <w:rPr>
          <w:rFonts w:eastAsia="Calibri" w:cs="Times New Roman"/>
        </w:rPr>
      </w:pPr>
      <w:r w:rsidRPr="004F6E87">
        <w:rPr>
          <w:rFonts w:eastAsia="Calibri" w:cs="Times New Roman"/>
        </w:rPr>
        <w:t>Объективная сторона состава преступления характеризуется активными действиями, направленными на возбуждение у несовершеннолетнего желания участвовать в совершении одного или нескольких преступлений. Эти действия виновного лица могут быть совершены с помощью обещаний, обмана, с помощью психического воздействия-угроз или любым другим способом, под которым следует понимать убеждение, заверения в безнаказанности, подкуп, возбуждение чувства мести, зависти и т. д.</w:t>
      </w:r>
    </w:p>
    <w:p w:rsidR="004F6E87" w:rsidRDefault="004F6E87" w:rsidP="00A64793">
      <w:pPr>
        <w:tabs>
          <w:tab w:val="left" w:pos="3433"/>
        </w:tabs>
        <w:rPr>
          <w:rFonts w:eastAsia="Calibri" w:cs="Times New Roman"/>
        </w:rPr>
      </w:pPr>
      <w:r w:rsidRPr="004F6E87">
        <w:rPr>
          <w:rFonts w:eastAsia="Calibri" w:cs="Times New Roman"/>
        </w:rPr>
        <w:t xml:space="preserve">С субъективной стороны преступление, предусмотренное статьей 150 УК РФ, характеризуется прямым умыслом: исполнитель </w:t>
      </w:r>
      <w:r>
        <w:rPr>
          <w:rFonts w:eastAsia="Calibri" w:cs="Times New Roman"/>
        </w:rPr>
        <w:t>о</w:t>
      </w:r>
      <w:r w:rsidRPr="004F6E87">
        <w:rPr>
          <w:rFonts w:eastAsia="Calibri" w:cs="Times New Roman"/>
        </w:rPr>
        <w:t xml:space="preserve">сознает, что </w:t>
      </w:r>
      <w:r w:rsidRPr="004F6E87">
        <w:rPr>
          <w:rFonts w:eastAsia="Calibri" w:cs="Times New Roman"/>
        </w:rPr>
        <w:lastRenderedPageBreak/>
        <w:t xml:space="preserve">вовлекает несовершеннолетнего </w:t>
      </w:r>
      <w:r>
        <w:rPr>
          <w:rFonts w:eastAsia="Calibri" w:cs="Times New Roman"/>
        </w:rPr>
        <w:t>любым</w:t>
      </w:r>
      <w:r w:rsidRPr="004F6E87">
        <w:rPr>
          <w:rFonts w:eastAsia="Calibri" w:cs="Times New Roman"/>
        </w:rPr>
        <w:t xml:space="preserve"> иным способом в совершение уголовного преступления</w:t>
      </w:r>
      <w:r>
        <w:rPr>
          <w:rFonts w:eastAsia="Calibri" w:cs="Times New Roman"/>
        </w:rPr>
        <w:t>.</w:t>
      </w:r>
    </w:p>
    <w:p w:rsidR="004F6E87" w:rsidRDefault="004F6E87" w:rsidP="00A64793">
      <w:pPr>
        <w:tabs>
          <w:tab w:val="left" w:pos="3433"/>
        </w:tabs>
        <w:rPr>
          <w:rFonts w:eastAsia="Calibri" w:cs="Times New Roman"/>
        </w:rPr>
      </w:pPr>
      <w:r>
        <w:rPr>
          <w:rFonts w:eastAsia="Calibri" w:cs="Times New Roman"/>
        </w:rPr>
        <w:t xml:space="preserve">Наказание за совершение данного преступления – лишение </w:t>
      </w:r>
      <w:r w:rsidR="00C11F83">
        <w:rPr>
          <w:rFonts w:eastAsia="Calibri" w:cs="Times New Roman"/>
        </w:rPr>
        <w:t>свободы на 5 лет.</w:t>
      </w:r>
    </w:p>
    <w:p w:rsidR="00C11F83" w:rsidRDefault="001C0A48" w:rsidP="00A64793">
      <w:pPr>
        <w:tabs>
          <w:tab w:val="left" w:pos="3433"/>
        </w:tabs>
        <w:rPr>
          <w:rFonts w:eastAsia="Calibri" w:cs="Times New Roman"/>
        </w:rPr>
      </w:pPr>
      <w:r w:rsidRPr="001C0A48">
        <w:rPr>
          <w:rFonts w:eastAsia="Calibri" w:cs="Times New Roman"/>
        </w:rPr>
        <w:t>Часть 2 ст. 150 УК РФ предусматривает то же деяние, совершенное родителем, педагогом либо иным лицом, на которое законом возложены обязанности по воспитанию несовершеннолетнего, что делает преступление более опасным.</w:t>
      </w:r>
    </w:p>
    <w:p w:rsidR="001C0A48" w:rsidRDefault="00C2214F" w:rsidP="00A64793">
      <w:pPr>
        <w:tabs>
          <w:tab w:val="left" w:pos="3433"/>
        </w:tabs>
        <w:rPr>
          <w:rFonts w:eastAsia="Calibri" w:cs="Times New Roman"/>
        </w:rPr>
      </w:pPr>
      <w:r w:rsidRPr="00C2214F">
        <w:rPr>
          <w:rFonts w:eastAsia="Calibri" w:cs="Times New Roman"/>
        </w:rPr>
        <w:t>Квалифицирующий признак в данном случае относится к субъекту преступления (он специальный): виновный по отношению к вовлекаемому в совершение преступления несовершеннолетнего является не посторонним, а лицом, на котором лежит юридическая, установленная законодательством о семье или другими нормативными актами обязанность по воспитанию подростка (родитель, педагог, усыновитель, опекун, воспитатель и т.д.).</w:t>
      </w:r>
    </w:p>
    <w:p w:rsidR="00C2214F" w:rsidRDefault="00C2214F" w:rsidP="00A64793">
      <w:pPr>
        <w:tabs>
          <w:tab w:val="left" w:pos="3433"/>
        </w:tabs>
        <w:rPr>
          <w:rFonts w:eastAsia="Calibri" w:cs="Times New Roman"/>
        </w:rPr>
      </w:pPr>
      <w:r w:rsidRPr="00C2214F">
        <w:rPr>
          <w:rFonts w:eastAsia="Calibri" w:cs="Times New Roman"/>
        </w:rPr>
        <w:t>Санкция данной части предусматривает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C2214F" w:rsidRDefault="00C2214F" w:rsidP="00A64793">
      <w:pPr>
        <w:tabs>
          <w:tab w:val="left" w:pos="3433"/>
        </w:tabs>
        <w:rPr>
          <w:rFonts w:eastAsia="Calibri" w:cs="Times New Roman"/>
        </w:rPr>
      </w:pPr>
      <w:r w:rsidRPr="00C2214F">
        <w:rPr>
          <w:rFonts w:eastAsia="Calibri" w:cs="Times New Roman"/>
        </w:rPr>
        <w:t>Другим квалифицирующим признаком вовлечения несовершеннолетних в совершение преступления закон (ч. 3 ст. 150 УК РФ) считает деяния, предусмотренные ч. 1 и 2 ст. 150 УК РФ, совершенные с применением насилия или с угрозой его применения (физическое воздействие).</w:t>
      </w:r>
    </w:p>
    <w:p w:rsidR="00C2214F" w:rsidRDefault="00C2214F" w:rsidP="00A64793">
      <w:pPr>
        <w:tabs>
          <w:tab w:val="left" w:pos="3433"/>
        </w:tabs>
        <w:rPr>
          <w:rFonts w:eastAsia="Calibri" w:cs="Times New Roman"/>
        </w:rPr>
      </w:pPr>
      <w:r w:rsidRPr="00C2214F">
        <w:rPr>
          <w:rFonts w:eastAsia="Calibri" w:cs="Times New Roman"/>
        </w:rPr>
        <w:t xml:space="preserve">Из этой формулировки следует, что субъектом данного вида преступления может быть как лицо, являющееся посторонним по отношению к подростку, причастному к совершению преступления, так и его родители или иное лицо, несущее юридическую ответственность за воспитание несовершеннолетнего (например, лицами, ответственными за воспитание, могут быть медицинские, социальные работники, психологи и другие специалисты). Квалифицирующий признак относится к объективной стороне и присутствует, когда вовлечение несовершеннолетнего в преступление </w:t>
      </w:r>
      <w:r w:rsidRPr="00C2214F">
        <w:rPr>
          <w:rFonts w:eastAsia="Calibri" w:cs="Times New Roman"/>
        </w:rPr>
        <w:lastRenderedPageBreak/>
        <w:t>сопряжено с реальным насилием или угрозой его применения (побои, причинение телесных повреждений и др.).</w:t>
      </w:r>
    </w:p>
    <w:p w:rsidR="00C2214F" w:rsidRDefault="00C2214F" w:rsidP="00A64793">
      <w:pPr>
        <w:tabs>
          <w:tab w:val="left" w:pos="3433"/>
        </w:tabs>
        <w:rPr>
          <w:rFonts w:eastAsia="Calibri" w:cs="Times New Roman"/>
        </w:rPr>
      </w:pPr>
      <w:r w:rsidRPr="00C2214F">
        <w:rPr>
          <w:rFonts w:eastAsia="Calibri" w:cs="Times New Roman"/>
        </w:rPr>
        <w:t>Санкция данной части предусматривает лишение свободы на срок от двух до семи лет с ограничением свободы на срок до двух лет либо без такового.</w:t>
      </w:r>
    </w:p>
    <w:p w:rsidR="00641E3C" w:rsidRPr="00641E3C" w:rsidRDefault="00641E3C" w:rsidP="00641E3C">
      <w:pPr>
        <w:tabs>
          <w:tab w:val="left" w:pos="3433"/>
        </w:tabs>
        <w:rPr>
          <w:rFonts w:eastAsia="Calibri" w:cs="Times New Roman"/>
        </w:rPr>
      </w:pPr>
      <w:r w:rsidRPr="00641E3C">
        <w:rPr>
          <w:rFonts w:eastAsia="Calibri" w:cs="Times New Roman"/>
        </w:rPr>
        <w:t>Особо квалифицированный состав рассматриваемого преступления предусмотрен ч. 4 ст. 150 УК РФ, которой установлена ответственность за вовлечение несовершеннолетнего в преступную группу либо в совершение тяжкого или особо тяжкого преступления. В данном случае подросток вовлекается в преступление, которое совершается группой без предварительного сговора (ч. 1 ст. 35 УК РФ, по предварительному сговору (ч. 2 ст. 35 УК РФ), организованную группу (ч. 3 ст. 35 УК РФ) или преступное сообщество (ч. 4 ст. 35 УК РФ) или же в совершение преступления, которое относится к разряду тяжких или особо тяжких (ч. 4 и ч. 5 ст. 15 УК РФ).</w:t>
      </w:r>
    </w:p>
    <w:p w:rsidR="00C2214F" w:rsidRDefault="00641E3C" w:rsidP="00641E3C">
      <w:pPr>
        <w:tabs>
          <w:tab w:val="left" w:pos="3433"/>
        </w:tabs>
        <w:rPr>
          <w:rFonts w:eastAsia="Calibri" w:cs="Times New Roman"/>
        </w:rPr>
      </w:pPr>
      <w:r w:rsidRPr="00641E3C">
        <w:rPr>
          <w:rFonts w:eastAsia="Calibri" w:cs="Times New Roman"/>
        </w:rPr>
        <w:t>Санкция данной части предусматривает лишение свободы на срок от пяти до восьми лет с ограничением свободы на срок до двух лет либо без такового.</w:t>
      </w:r>
    </w:p>
    <w:p w:rsidR="00641E3C" w:rsidRDefault="00641E3C" w:rsidP="00641E3C">
      <w:pPr>
        <w:tabs>
          <w:tab w:val="left" w:pos="3433"/>
        </w:tabs>
        <w:rPr>
          <w:rFonts w:eastAsia="Calibri" w:cs="Times New Roman"/>
        </w:rPr>
      </w:pPr>
    </w:p>
    <w:p w:rsidR="00641E3C" w:rsidRDefault="00641E3C" w:rsidP="00641E3C">
      <w:pPr>
        <w:tabs>
          <w:tab w:val="left" w:pos="3433"/>
        </w:tabs>
        <w:rPr>
          <w:rFonts w:eastAsia="Calibri" w:cs="Times New Roman"/>
        </w:rPr>
      </w:pPr>
      <w:r w:rsidRPr="00641E3C">
        <w:rPr>
          <w:rFonts w:eastAsia="Calibri" w:cs="Times New Roman"/>
        </w:rPr>
        <w:t>2. Вовлечение несовершеннолетнего в совершение антиобщественных действий (ст. 151 УК РФ)</w:t>
      </w:r>
    </w:p>
    <w:p w:rsidR="00641E3C" w:rsidRDefault="00641E3C" w:rsidP="00641E3C">
      <w:pPr>
        <w:tabs>
          <w:tab w:val="left" w:pos="3433"/>
        </w:tabs>
        <w:rPr>
          <w:rFonts w:eastAsia="Calibri" w:cs="Times New Roman"/>
        </w:rPr>
      </w:pPr>
    </w:p>
    <w:p w:rsidR="00641E3C" w:rsidRDefault="00641E3C" w:rsidP="00641E3C">
      <w:pPr>
        <w:tabs>
          <w:tab w:val="left" w:pos="3433"/>
        </w:tabs>
        <w:rPr>
          <w:rFonts w:eastAsia="Calibri" w:cs="Times New Roman"/>
        </w:rPr>
      </w:pPr>
      <w:r w:rsidRPr="00641E3C">
        <w:rPr>
          <w:rFonts w:eastAsia="Calibri" w:cs="Times New Roman"/>
        </w:rPr>
        <w:t xml:space="preserve">Согласно ч. 1 ст. 151 УК РФ преступлением признается вовлечение совершенное лицом, достигшим восемнадцатилетнего возраста, несовершеннолетнего в: </w:t>
      </w:r>
    </w:p>
    <w:p w:rsidR="00641E3C" w:rsidRDefault="00641E3C" w:rsidP="00641E3C">
      <w:pPr>
        <w:tabs>
          <w:tab w:val="left" w:pos="3433"/>
        </w:tabs>
        <w:rPr>
          <w:rFonts w:eastAsia="Calibri" w:cs="Times New Roman"/>
        </w:rPr>
      </w:pPr>
      <w:r w:rsidRPr="00641E3C">
        <w:rPr>
          <w:rFonts w:eastAsia="Calibri" w:cs="Times New Roman"/>
        </w:rPr>
        <w:t xml:space="preserve">а) систематическое употребление спиртных напитков; </w:t>
      </w:r>
    </w:p>
    <w:p w:rsidR="00641E3C" w:rsidRDefault="00641E3C" w:rsidP="00641E3C">
      <w:pPr>
        <w:tabs>
          <w:tab w:val="left" w:pos="3433"/>
        </w:tabs>
        <w:rPr>
          <w:rFonts w:eastAsia="Calibri" w:cs="Times New Roman"/>
        </w:rPr>
      </w:pPr>
      <w:r w:rsidRPr="00641E3C">
        <w:rPr>
          <w:rFonts w:eastAsia="Calibri" w:cs="Times New Roman"/>
        </w:rPr>
        <w:t xml:space="preserve">б) одурманивающих веществ; </w:t>
      </w:r>
    </w:p>
    <w:p w:rsidR="00641E3C" w:rsidRDefault="00641E3C" w:rsidP="00641E3C">
      <w:pPr>
        <w:tabs>
          <w:tab w:val="left" w:pos="3433"/>
        </w:tabs>
        <w:rPr>
          <w:rFonts w:eastAsia="Calibri" w:cs="Times New Roman"/>
        </w:rPr>
      </w:pPr>
      <w:r w:rsidRPr="00641E3C">
        <w:rPr>
          <w:rFonts w:eastAsia="Calibri" w:cs="Times New Roman"/>
        </w:rPr>
        <w:t>в) занятие бродяжничеством или попрошайничеством.</w:t>
      </w:r>
    </w:p>
    <w:p w:rsidR="00641E3C" w:rsidRDefault="00E5352C" w:rsidP="00641E3C">
      <w:pPr>
        <w:tabs>
          <w:tab w:val="left" w:pos="3433"/>
        </w:tabs>
        <w:rPr>
          <w:rFonts w:eastAsia="Calibri" w:cs="Times New Roman"/>
        </w:rPr>
      </w:pPr>
      <w:r w:rsidRPr="00E5352C">
        <w:rPr>
          <w:rFonts w:eastAsia="Calibri" w:cs="Times New Roman"/>
        </w:rPr>
        <w:t xml:space="preserve">Общественная опасность преступления заключается в том, что в результате приобщения к регулярному употреблению алкоголя организм несовершеннолетнего подвергается реальной опасности алкогольной </w:t>
      </w:r>
      <w:r w:rsidRPr="00E5352C">
        <w:rPr>
          <w:rFonts w:eastAsia="Calibri" w:cs="Times New Roman"/>
        </w:rPr>
        <w:lastRenderedPageBreak/>
        <w:t>деградации; употребление одурманивающих веществ создает реальную угрозу физическому и психическому здоровью подростка; занятие бродяжничеством и попрошайничеством наносит ущерб нравственному и физическому развитию несовершеннолетнего.</w:t>
      </w:r>
    </w:p>
    <w:p w:rsidR="00E5352C" w:rsidRDefault="0014112A" w:rsidP="00641E3C">
      <w:pPr>
        <w:tabs>
          <w:tab w:val="left" w:pos="3433"/>
        </w:tabs>
        <w:rPr>
          <w:rFonts w:eastAsia="Calibri" w:cs="Times New Roman"/>
        </w:rPr>
      </w:pPr>
      <w:r w:rsidRPr="0014112A">
        <w:rPr>
          <w:rFonts w:eastAsia="Calibri" w:cs="Times New Roman"/>
        </w:rPr>
        <w:t>Объективная сторона рассматриваемого преступления характеризуется совершением следующих действий:</w:t>
      </w:r>
    </w:p>
    <w:p w:rsidR="0014112A" w:rsidRDefault="0014112A" w:rsidP="00641E3C">
      <w:pPr>
        <w:tabs>
          <w:tab w:val="left" w:pos="3433"/>
        </w:tabs>
        <w:rPr>
          <w:rFonts w:eastAsia="Calibri" w:cs="Times New Roman"/>
        </w:rPr>
      </w:pPr>
      <w:r>
        <w:rPr>
          <w:rFonts w:eastAsia="Calibri" w:cs="Times New Roman"/>
        </w:rPr>
        <w:t xml:space="preserve">1. </w:t>
      </w:r>
      <w:r w:rsidRPr="0014112A">
        <w:rPr>
          <w:rFonts w:eastAsia="Calibri" w:cs="Times New Roman"/>
        </w:rPr>
        <w:t xml:space="preserve">Вовлечением несовершеннолетнего в систематическое употребление спиртных напитков. </w:t>
      </w:r>
    </w:p>
    <w:p w:rsidR="0014112A" w:rsidRDefault="0014112A" w:rsidP="00641E3C">
      <w:pPr>
        <w:tabs>
          <w:tab w:val="left" w:pos="3433"/>
        </w:tabs>
        <w:rPr>
          <w:rFonts w:eastAsia="Calibri" w:cs="Times New Roman"/>
        </w:rPr>
      </w:pPr>
      <w:r w:rsidRPr="0014112A">
        <w:rPr>
          <w:rFonts w:eastAsia="Calibri" w:cs="Times New Roman"/>
        </w:rPr>
        <w:t xml:space="preserve">Оно представляет собой действия взрослого, направленные на вовлечение несовершеннолетнего в систематическое употребление спиртных напитков независимо от того, совершил ли подросток под влиянием алкоголя преступление или другие антиобщественные действия, наступили или не наступили для него какие-либо последствия. </w:t>
      </w:r>
    </w:p>
    <w:p w:rsidR="0014112A" w:rsidRDefault="0014112A" w:rsidP="00641E3C">
      <w:pPr>
        <w:tabs>
          <w:tab w:val="left" w:pos="3433"/>
        </w:tabs>
        <w:rPr>
          <w:rFonts w:eastAsia="Calibri" w:cs="Times New Roman"/>
        </w:rPr>
      </w:pPr>
      <w:r w:rsidRPr="0014112A">
        <w:rPr>
          <w:rFonts w:eastAsia="Calibri" w:cs="Times New Roman"/>
        </w:rPr>
        <w:t>Единичные случаи совместного распития спиртных напитков с несовершеннолетним, доведения его до состояния опьянения подлежат административной ответственности (статья 6.10 «Вовлечение несовершеннолетнего в употреблении алкогольной и спиртосодержащей продукции, новых потенциально опасных психоактивных веществ или одурманивающих веществ» КоАП РФ).</w:t>
      </w:r>
    </w:p>
    <w:p w:rsidR="0014112A" w:rsidRDefault="0014112A" w:rsidP="00641E3C">
      <w:pPr>
        <w:tabs>
          <w:tab w:val="left" w:pos="3433"/>
        </w:tabs>
        <w:rPr>
          <w:rFonts w:eastAsia="Calibri" w:cs="Times New Roman"/>
        </w:rPr>
      </w:pPr>
      <w:r>
        <w:rPr>
          <w:rFonts w:eastAsia="Calibri" w:cs="Times New Roman"/>
        </w:rPr>
        <w:t xml:space="preserve">2. </w:t>
      </w:r>
      <w:r w:rsidRPr="0014112A">
        <w:rPr>
          <w:rFonts w:eastAsia="Calibri" w:cs="Times New Roman"/>
        </w:rPr>
        <w:t>Вовлечением несовершеннолетнего в немедицинское систематическое употребление одурманивающих веществ, под которыми имеются в виду лекарственные препараты (димедрол, эфедрин, триоксазин и др.) и химические вещества хозяйственно- бытового назначения, в частности фосфорорганические соединения, растворители, пестициды и токсические вещества, употребление которых вызывает своеобразное влияние на эмоционально-нервную и психическую сферу человека как наихудший заменитель (суррогат) наркотиков.</w:t>
      </w:r>
    </w:p>
    <w:p w:rsidR="0014112A" w:rsidRDefault="0014112A" w:rsidP="00641E3C">
      <w:pPr>
        <w:tabs>
          <w:tab w:val="left" w:pos="3433"/>
        </w:tabs>
        <w:rPr>
          <w:rFonts w:eastAsia="Calibri" w:cs="Times New Roman"/>
        </w:rPr>
      </w:pPr>
      <w:r>
        <w:rPr>
          <w:rFonts w:eastAsia="Calibri" w:cs="Times New Roman"/>
        </w:rPr>
        <w:t xml:space="preserve">3. </w:t>
      </w:r>
      <w:r w:rsidRPr="0014112A">
        <w:rPr>
          <w:rFonts w:eastAsia="Calibri" w:cs="Times New Roman"/>
        </w:rPr>
        <w:t xml:space="preserve">К третьему действию анализируемого преступления закон относит вовлечение несовершеннолетнего в занятие бродяжничеством или попрошайничеством, которое представляет собой действия взрослого, </w:t>
      </w:r>
      <w:r w:rsidRPr="0014112A">
        <w:rPr>
          <w:rFonts w:eastAsia="Calibri" w:cs="Times New Roman"/>
        </w:rPr>
        <w:lastRenderedPageBreak/>
        <w:t>направленные на приобщение к бродяжничеству, кочевому, бездомному образу жизни или к систематическому выпрашиванию у посторонних лиц денег, продуктов, одежды, спиртного, сигарет и т.д. Эти действия, как показывает практика, совершаются, как правило, в целях паразитического существования взрослого за счет средств, добываемых несовершеннолетним.</w:t>
      </w:r>
    </w:p>
    <w:p w:rsidR="0014112A" w:rsidRDefault="0014112A" w:rsidP="00641E3C">
      <w:pPr>
        <w:tabs>
          <w:tab w:val="left" w:pos="3433"/>
        </w:tabs>
        <w:rPr>
          <w:rFonts w:eastAsia="Calibri" w:cs="Times New Roman"/>
        </w:rPr>
      </w:pPr>
      <w:r w:rsidRPr="0014112A">
        <w:rPr>
          <w:rFonts w:eastAsia="Calibri" w:cs="Times New Roman"/>
        </w:rPr>
        <w:t>Санкция данной части предусматривает наказание в виде обязательных работ на срок до четырехсот восьмидесяти часов, либо исправительных работ на срок от одного года до двух лет, либо ареста на срок от трех до шести месяцев, либо лишения свободы на срок до четырех лет.</w:t>
      </w:r>
    </w:p>
    <w:p w:rsidR="0014112A" w:rsidRDefault="0014112A" w:rsidP="00641E3C">
      <w:pPr>
        <w:tabs>
          <w:tab w:val="left" w:pos="3433"/>
        </w:tabs>
        <w:rPr>
          <w:rFonts w:eastAsia="Calibri" w:cs="Times New Roman"/>
        </w:rPr>
      </w:pPr>
      <w:r w:rsidRPr="0014112A">
        <w:rPr>
          <w:rFonts w:eastAsia="Calibri" w:cs="Times New Roman"/>
        </w:rPr>
        <w:t>Согласно примечанию к ст. 151 УК РФ уголовной ответственности не подлежит родитель, который в занятие бродяжничеством вовлек своего родного ребенка в силу безвыходного положения, которое возникло вследствие тяжелых жизненных обстоятельств, вызванных утратой источника средств существования или отсутствием места жительства и когда бродяжничество для обоих стало единственным способом поддержания жизни. В действиях такого родителя состав преступления отсутствует.</w:t>
      </w:r>
    </w:p>
    <w:p w:rsidR="0014112A" w:rsidRDefault="0014112A" w:rsidP="00641E3C">
      <w:pPr>
        <w:tabs>
          <w:tab w:val="left" w:pos="3433"/>
        </w:tabs>
        <w:rPr>
          <w:rFonts w:eastAsia="Calibri" w:cs="Times New Roman"/>
        </w:rPr>
      </w:pPr>
    </w:p>
    <w:p w:rsidR="0014112A" w:rsidRDefault="0014112A" w:rsidP="00641E3C">
      <w:pPr>
        <w:tabs>
          <w:tab w:val="left" w:pos="3433"/>
        </w:tabs>
        <w:rPr>
          <w:rFonts w:eastAsia="Calibri" w:cs="Times New Roman"/>
        </w:rPr>
      </w:pPr>
      <w:r w:rsidRPr="0014112A">
        <w:rPr>
          <w:rFonts w:eastAsia="Calibri" w:cs="Times New Roman"/>
        </w:rPr>
        <w:t>Федеральный закон от 24.06.1999 № 120-ФЗ «Об основах системы профилактики безнадзорности и правонарушений несовершеннолетних» одной из задач деятельности по профилактике безнадзорности и правонарушений несовершеннолетних определяет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83DD5" w:rsidRDefault="0014112A" w:rsidP="00641E3C">
      <w:pPr>
        <w:tabs>
          <w:tab w:val="left" w:pos="3433"/>
        </w:tabs>
        <w:rPr>
          <w:rFonts w:eastAsia="Calibri" w:cs="Times New Roman"/>
        </w:rPr>
      </w:pPr>
      <w:r w:rsidRPr="0014112A">
        <w:rPr>
          <w:rFonts w:eastAsia="Calibri" w:cs="Times New Roman"/>
        </w:rPr>
        <w:t xml:space="preserve">Органы и учреждения системы профилактики безнадзорности и правонарушений несовершеннолетних: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 xml:space="preserve">комиссии по делам несовершеннолетних и защите их прав,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 xml:space="preserve">органы управления социальной защитой населения, федеральные органы государственной власти и органы государственной власти </w:t>
      </w:r>
      <w:r w:rsidRPr="00F83DD5">
        <w:rPr>
          <w:rFonts w:eastAsia="Calibri" w:cs="Times New Roman"/>
        </w:rPr>
        <w:lastRenderedPageBreak/>
        <w:t xml:space="preserve">субъектов Российской Федерации, осуществляющие государственное управление в </w:t>
      </w:r>
      <w:r w:rsidR="00F83DD5" w:rsidRPr="00F83DD5">
        <w:rPr>
          <w:rFonts w:eastAsia="Calibri" w:cs="Times New Roman"/>
        </w:rPr>
        <w:t xml:space="preserve">сфере образования,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органы местного самоуправления, осуществляющие</w:t>
      </w:r>
      <w:r w:rsidR="00F83DD5" w:rsidRPr="00F83DD5">
        <w:rPr>
          <w:rFonts w:eastAsia="Calibri" w:cs="Times New Roman"/>
        </w:rPr>
        <w:t xml:space="preserve"> управление в сфере образования</w:t>
      </w:r>
      <w:r w:rsidRPr="00F83DD5">
        <w:rPr>
          <w:rFonts w:eastAsia="Calibri" w:cs="Times New Roman"/>
        </w:rPr>
        <w:t xml:space="preserve">,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 xml:space="preserve">органы опеки и попечительства,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 xml:space="preserve">органы по делам молодежи, </w:t>
      </w:r>
    </w:p>
    <w:p w:rsidR="00F83DD5" w:rsidRPr="00F83DD5" w:rsidRDefault="0014112A" w:rsidP="00F83DD5">
      <w:pPr>
        <w:pStyle w:val="ListParagraph"/>
        <w:numPr>
          <w:ilvl w:val="0"/>
          <w:numId w:val="1"/>
        </w:numPr>
        <w:tabs>
          <w:tab w:val="left" w:pos="3433"/>
        </w:tabs>
        <w:rPr>
          <w:rFonts w:eastAsia="Calibri" w:cs="Times New Roman"/>
        </w:rPr>
      </w:pPr>
      <w:r w:rsidRPr="00F83DD5">
        <w:rPr>
          <w:rFonts w:eastAsia="Calibri" w:cs="Times New Roman"/>
        </w:rPr>
        <w:t xml:space="preserve">органы управления здравоохранением, </w:t>
      </w:r>
    </w:p>
    <w:p w:rsidR="0014112A" w:rsidRDefault="0014112A" w:rsidP="00F83DD5">
      <w:pPr>
        <w:pStyle w:val="ListParagraph"/>
        <w:numPr>
          <w:ilvl w:val="0"/>
          <w:numId w:val="1"/>
        </w:numPr>
        <w:tabs>
          <w:tab w:val="left" w:pos="3433"/>
        </w:tabs>
        <w:rPr>
          <w:rFonts w:eastAsia="Calibri" w:cs="Times New Roman"/>
        </w:rPr>
      </w:pPr>
      <w:r w:rsidRPr="00F83DD5">
        <w:rPr>
          <w:rFonts w:eastAsia="Calibri" w:cs="Times New Roman"/>
        </w:rPr>
        <w:t>органы службы занятости</w:t>
      </w:r>
      <w:r w:rsidR="00F83DD5" w:rsidRPr="00F83DD5">
        <w:rPr>
          <w:rFonts w:eastAsia="Calibri" w:cs="Times New Roman"/>
        </w:rPr>
        <w:t>.</w:t>
      </w:r>
    </w:p>
    <w:p w:rsidR="00F83DD5" w:rsidRPr="00F83DD5" w:rsidRDefault="00F83DD5" w:rsidP="00F83DD5">
      <w:pPr>
        <w:tabs>
          <w:tab w:val="left" w:pos="3433"/>
        </w:tabs>
        <w:rPr>
          <w:rFonts w:eastAsia="Calibri" w:cs="Times New Roman"/>
        </w:rPr>
      </w:pPr>
      <w:r>
        <w:rPr>
          <w:rFonts w:eastAsia="Calibri" w:cs="Times New Roman"/>
        </w:rPr>
        <w:t>Ниже на рисунке 1 представлена статистика преступлений, связанных с привлечением несовершеннолетних по регионам.</w:t>
      </w:r>
    </w:p>
    <w:p w:rsidR="00F83DD5" w:rsidRDefault="00F83DD5" w:rsidP="0069112E">
      <w:pPr>
        <w:keepNext/>
        <w:tabs>
          <w:tab w:val="left" w:pos="3433"/>
        </w:tabs>
        <w:ind w:firstLine="0"/>
        <w:jc w:val="center"/>
      </w:pPr>
      <w:r>
        <w:rPr>
          <w:noProof/>
          <w:lang w:eastAsia="ru-RU"/>
        </w:rPr>
        <w:drawing>
          <wp:inline distT="0" distB="0" distL="0" distR="0" wp14:anchorId="0DC07B54" wp14:editId="2C480368">
            <wp:extent cx="4035425" cy="2870307"/>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4936" cy="2877072"/>
                    </a:xfrm>
                    <a:prstGeom prst="rect">
                      <a:avLst/>
                    </a:prstGeom>
                  </pic:spPr>
                </pic:pic>
              </a:graphicData>
            </a:graphic>
          </wp:inline>
        </w:drawing>
      </w:r>
    </w:p>
    <w:p w:rsidR="00F83DD5" w:rsidRPr="00F83DD5" w:rsidRDefault="00F83DD5" w:rsidP="00F83DD5">
      <w:pPr>
        <w:pStyle w:val="Caption"/>
        <w:jc w:val="center"/>
        <w:rPr>
          <w:rFonts w:eastAsia="Calibri" w:cs="Times New Roman"/>
        </w:rPr>
      </w:pPr>
      <w:r>
        <w:t xml:space="preserve">Рисунок </w:t>
      </w:r>
      <w:r w:rsidR="00D736CE">
        <w:rPr>
          <w:noProof/>
        </w:rPr>
        <w:fldChar w:fldCharType="begin"/>
      </w:r>
      <w:r w:rsidR="00D736CE">
        <w:rPr>
          <w:noProof/>
        </w:rPr>
        <w:instrText xml:space="preserve"> SEQ Рисунок \* ARABIC </w:instrText>
      </w:r>
      <w:r w:rsidR="00D736CE">
        <w:rPr>
          <w:noProof/>
        </w:rPr>
        <w:fldChar w:fldCharType="separate"/>
      </w:r>
      <w:r>
        <w:rPr>
          <w:noProof/>
        </w:rPr>
        <w:t>1</w:t>
      </w:r>
      <w:r w:rsidR="00D736CE">
        <w:rPr>
          <w:noProof/>
        </w:rPr>
        <w:fldChar w:fldCharType="end"/>
      </w:r>
      <w:r>
        <w:t xml:space="preserve"> Статистика</w:t>
      </w:r>
    </w:p>
    <w:p w:rsidR="00641E3C" w:rsidRDefault="00641E3C" w:rsidP="00641E3C">
      <w:pPr>
        <w:tabs>
          <w:tab w:val="left" w:pos="3433"/>
        </w:tabs>
        <w:rPr>
          <w:rFonts w:eastAsia="Calibri" w:cs="Times New Roman"/>
        </w:rPr>
      </w:pPr>
    </w:p>
    <w:p w:rsidR="00641E3C" w:rsidRDefault="00F83DD5" w:rsidP="00641E3C">
      <w:pPr>
        <w:tabs>
          <w:tab w:val="left" w:pos="3433"/>
        </w:tabs>
        <w:rPr>
          <w:rFonts w:eastAsia="Calibri" w:cs="Times New Roman"/>
        </w:rPr>
      </w:pPr>
      <w:r>
        <w:rPr>
          <w:rFonts w:eastAsia="Calibri" w:cs="Times New Roman"/>
        </w:rPr>
        <w:t>СПИСОК ЛИТЕРАТУРЫ</w:t>
      </w:r>
    </w:p>
    <w:p w:rsidR="00F83DD5" w:rsidRPr="00F83DD5" w:rsidRDefault="00F83DD5" w:rsidP="00641E3C">
      <w:pPr>
        <w:tabs>
          <w:tab w:val="left" w:pos="3433"/>
        </w:tabs>
      </w:pPr>
      <w:r>
        <w:rPr>
          <w:rFonts w:eastAsia="Calibri" w:cs="Times New Roman"/>
        </w:rPr>
        <w:t xml:space="preserve">1. </w:t>
      </w:r>
      <w:r w:rsidRPr="00F83DD5">
        <w:rPr>
          <w:rFonts w:eastAsia="Calibri" w:cs="Times New Roman"/>
        </w:rPr>
        <w:t xml:space="preserve">https://genproc.gov.ru/upload/iblock/925/sbornik_9_2020.pdf </w:t>
      </w:r>
      <w:r w:rsidRPr="00F83DD5">
        <w:t xml:space="preserve">СОСТОЯНИЕ ПРЕСТУПНОСТИ В РОССИИ </w:t>
      </w:r>
      <w:r>
        <w:t>за январь - сентябрь 2020 год</w:t>
      </w:r>
    </w:p>
    <w:p w:rsidR="00F83DD5" w:rsidRDefault="00F83DD5" w:rsidP="00641E3C">
      <w:pPr>
        <w:tabs>
          <w:tab w:val="left" w:pos="3433"/>
        </w:tabs>
      </w:pPr>
      <w:r w:rsidRPr="00F83DD5">
        <w:t>2</w:t>
      </w:r>
      <w:r>
        <w:t xml:space="preserve">. </w:t>
      </w:r>
      <w:hyperlink r:id="rId7" w:history="1">
        <w:r w:rsidRPr="00C165B2">
          <w:rPr>
            <w:rStyle w:val="Hyperlink"/>
          </w:rPr>
          <w:t>http://prosecutor.ru/right/2019-06-14-otvetstvennost-za.htm</w:t>
        </w:r>
      </w:hyperlink>
      <w:r>
        <w:t xml:space="preserve"> </w:t>
      </w:r>
      <w:r w:rsidRPr="00F83DD5">
        <w:t>Ответственность за вовлечение несовершеннолетних в совершение действий, представляющих опасность для их жизни</w:t>
      </w:r>
    </w:p>
    <w:p w:rsidR="00F83DD5" w:rsidRDefault="00F83DD5" w:rsidP="00641E3C">
      <w:pPr>
        <w:tabs>
          <w:tab w:val="left" w:pos="3433"/>
        </w:tabs>
        <w:rPr>
          <w:rFonts w:ascii="Arial" w:hAnsi="Arial" w:cs="Arial"/>
          <w:color w:val="000000"/>
          <w:shd w:val="clear" w:color="auto" w:fill="FFFFFF"/>
        </w:rPr>
      </w:pPr>
      <w:r>
        <w:t xml:space="preserve">3. </w:t>
      </w:r>
      <w:r w:rsidRPr="00F83DD5">
        <w:rPr>
          <w:rFonts w:cs="Times New Roman"/>
          <w:color w:val="000000"/>
          <w:shd w:val="clear" w:color="auto" w:fill="FFFFFF"/>
        </w:rPr>
        <w:t>УК РФ</w:t>
      </w:r>
    </w:p>
    <w:p w:rsidR="000445FC" w:rsidRPr="00A64793" w:rsidRDefault="000445FC" w:rsidP="0069112E">
      <w:pPr>
        <w:ind w:firstLine="0"/>
      </w:pPr>
    </w:p>
    <w:sectPr w:rsidR="000445FC" w:rsidRPr="00A64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A03E5"/>
    <w:multiLevelType w:val="hybridMultilevel"/>
    <w:tmpl w:val="3A3EC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F2"/>
    <w:rsid w:val="000445FC"/>
    <w:rsid w:val="000A17F2"/>
    <w:rsid w:val="0014112A"/>
    <w:rsid w:val="001C0A48"/>
    <w:rsid w:val="004F6E87"/>
    <w:rsid w:val="0057373B"/>
    <w:rsid w:val="00641E3C"/>
    <w:rsid w:val="0069112E"/>
    <w:rsid w:val="00963015"/>
    <w:rsid w:val="00A64793"/>
    <w:rsid w:val="00C11F83"/>
    <w:rsid w:val="00C2214F"/>
    <w:rsid w:val="00C67B02"/>
    <w:rsid w:val="00C92D3A"/>
    <w:rsid w:val="00D736CE"/>
    <w:rsid w:val="00E5352C"/>
    <w:rsid w:val="00EB214D"/>
    <w:rsid w:val="00EE78B1"/>
    <w:rsid w:val="00F8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1FF"/>
  <w15:chartTrackingRefBased/>
  <w15:docId w15:val="{777D9835-C37B-4FA9-97A7-93E3E03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3A"/>
    <w:pPr>
      <w:keepNext/>
      <w:keepLines/>
      <w:spacing w:before="240"/>
      <w:outlineLvl w:val="0"/>
    </w:pPr>
    <w:rPr>
      <w:rFonts w:eastAsiaTheme="majorEastAsia" w:cstheme="majorBidi"/>
      <w:i/>
      <w:sz w:val="32"/>
      <w:szCs w:val="32"/>
    </w:rPr>
  </w:style>
  <w:style w:type="paragraph" w:styleId="Heading2">
    <w:name w:val="heading 2"/>
    <w:basedOn w:val="Normal"/>
    <w:next w:val="Normal"/>
    <w:link w:val="Heading2Char"/>
    <w:uiPriority w:val="9"/>
    <w:semiHidden/>
    <w:unhideWhenUsed/>
    <w:qFormat/>
    <w:rsid w:val="00C92D3A"/>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D3A"/>
    <w:rPr>
      <w:rFonts w:eastAsiaTheme="majorEastAsia" w:cstheme="majorBidi"/>
      <w:i/>
      <w:sz w:val="32"/>
      <w:szCs w:val="32"/>
    </w:rPr>
  </w:style>
  <w:style w:type="character" w:customStyle="1" w:styleId="Heading2Char">
    <w:name w:val="Heading 2 Char"/>
    <w:basedOn w:val="DefaultParagraphFont"/>
    <w:link w:val="Heading2"/>
    <w:uiPriority w:val="9"/>
    <w:semiHidden/>
    <w:rsid w:val="00C92D3A"/>
    <w:rPr>
      <w:rFonts w:eastAsiaTheme="majorEastAsia" w:cstheme="majorBidi"/>
      <w:i/>
      <w:szCs w:val="26"/>
    </w:rPr>
  </w:style>
  <w:style w:type="paragraph" w:styleId="ListParagraph">
    <w:name w:val="List Paragraph"/>
    <w:basedOn w:val="Normal"/>
    <w:uiPriority w:val="34"/>
    <w:qFormat/>
    <w:rsid w:val="00F83DD5"/>
    <w:pPr>
      <w:ind w:left="720"/>
      <w:contextualSpacing/>
    </w:pPr>
  </w:style>
  <w:style w:type="paragraph" w:styleId="Caption">
    <w:name w:val="caption"/>
    <w:basedOn w:val="Normal"/>
    <w:next w:val="Normal"/>
    <w:uiPriority w:val="35"/>
    <w:unhideWhenUsed/>
    <w:qFormat/>
    <w:rsid w:val="00F83DD5"/>
    <w:pPr>
      <w:spacing w:after="200" w:line="240" w:lineRule="auto"/>
    </w:pPr>
    <w:rPr>
      <w:i/>
      <w:iCs/>
      <w:color w:val="44546A" w:themeColor="text2"/>
      <w:sz w:val="18"/>
      <w:szCs w:val="18"/>
    </w:rPr>
  </w:style>
  <w:style w:type="character" w:styleId="Hyperlink">
    <w:name w:val="Hyperlink"/>
    <w:basedOn w:val="DefaultParagraphFont"/>
    <w:uiPriority w:val="99"/>
    <w:unhideWhenUsed/>
    <w:rsid w:val="00F83DD5"/>
    <w:rPr>
      <w:color w:val="0563C1" w:themeColor="hyperlink"/>
      <w:u w:val="single"/>
    </w:rPr>
  </w:style>
  <w:style w:type="character" w:styleId="FollowedHyperlink">
    <w:name w:val="FollowedHyperlink"/>
    <w:basedOn w:val="DefaultParagraphFont"/>
    <w:uiPriority w:val="99"/>
    <w:semiHidden/>
    <w:unhideWhenUsed/>
    <w:rsid w:val="00F83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3120">
      <w:bodyDiv w:val="1"/>
      <w:marLeft w:val="0"/>
      <w:marRight w:val="0"/>
      <w:marTop w:val="0"/>
      <w:marBottom w:val="0"/>
      <w:divBdr>
        <w:top w:val="none" w:sz="0" w:space="0" w:color="auto"/>
        <w:left w:val="none" w:sz="0" w:space="0" w:color="auto"/>
        <w:bottom w:val="none" w:sz="0" w:space="0" w:color="auto"/>
        <w:right w:val="none" w:sz="0" w:space="0" w:color="auto"/>
      </w:divBdr>
    </w:div>
    <w:div w:id="471220321">
      <w:bodyDiv w:val="1"/>
      <w:marLeft w:val="0"/>
      <w:marRight w:val="0"/>
      <w:marTop w:val="0"/>
      <w:marBottom w:val="0"/>
      <w:divBdr>
        <w:top w:val="none" w:sz="0" w:space="0" w:color="auto"/>
        <w:left w:val="none" w:sz="0" w:space="0" w:color="auto"/>
        <w:bottom w:val="none" w:sz="0" w:space="0" w:color="auto"/>
        <w:right w:val="none" w:sz="0" w:space="0" w:color="auto"/>
      </w:divBdr>
    </w:div>
    <w:div w:id="1383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secutor.ru/right/2019-06-14-otvetstvennost-z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2016103845@pnu.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Шайтан машина</dc:creator>
  <cp:keywords/>
  <dc:description/>
  <cp:lastModifiedBy>Dmitrien</cp:lastModifiedBy>
  <cp:revision>5</cp:revision>
  <dcterms:created xsi:type="dcterms:W3CDTF">2021-04-09T15:46:00Z</dcterms:created>
  <dcterms:modified xsi:type="dcterms:W3CDTF">2021-04-30T22:15:00Z</dcterms:modified>
</cp:coreProperties>
</file>