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96C7" w14:textId="77777777" w:rsidR="00FB2B20" w:rsidRPr="00D12A5B" w:rsidRDefault="00FB2B20" w:rsidP="00FB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hAnsi="Times New Roman" w:cs="Times New Roman"/>
          <w:b/>
          <w:bCs/>
          <w:sz w:val="28"/>
          <w:szCs w:val="28"/>
        </w:rPr>
        <w:t>А. Р. Побежимов</w:t>
      </w:r>
      <w:r w:rsidRPr="00D12A5B">
        <w:rPr>
          <w:rFonts w:ascii="Times New Roman" w:hAnsi="Times New Roman" w:cs="Times New Roman"/>
          <w:sz w:val="28"/>
          <w:szCs w:val="28"/>
        </w:rPr>
        <w:t>, магистрант</w:t>
      </w:r>
    </w:p>
    <w:p w14:paraId="3C943DFD" w14:textId="77777777" w:rsidR="00FB2B20" w:rsidRPr="00D12A5B" w:rsidRDefault="00FB2B20" w:rsidP="00FB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hAnsi="Times New Roman" w:cs="Times New Roman"/>
          <w:sz w:val="28"/>
          <w:szCs w:val="28"/>
        </w:rPr>
        <w:t>Тихоокеанский государственный университет, Хабаровск</w:t>
      </w:r>
    </w:p>
    <w:p w14:paraId="1E1AE9C1" w14:textId="556D2692" w:rsidR="00FB2B20" w:rsidRPr="00D12A5B" w:rsidRDefault="00FB2B20" w:rsidP="00FB2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BB05A" w14:textId="77777777" w:rsidR="00D26F99" w:rsidRPr="00D12A5B" w:rsidRDefault="00D26F99" w:rsidP="00FB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83767" w14:textId="77777777" w:rsidR="00D26F99" w:rsidRPr="00D12A5B" w:rsidRDefault="00D26F99" w:rsidP="00FB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24FF2" w14:textId="77777777" w:rsidR="00E37352" w:rsidRPr="00D12A5B" w:rsidRDefault="00D26F99" w:rsidP="00D26F9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ОБЩЕГО ПРОКУРОРСКОГО НАДЗОРА</w:t>
      </w:r>
    </w:p>
    <w:p w14:paraId="75D1D58C" w14:textId="77777777" w:rsidR="00684581" w:rsidRPr="00D12A5B" w:rsidRDefault="00684581" w:rsidP="00D26F99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DFA4583" w14:textId="77777777" w:rsidR="00684581" w:rsidRPr="00D12A5B" w:rsidRDefault="00684581" w:rsidP="006845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96A8F" w14:textId="77777777" w:rsidR="00684581" w:rsidRPr="00D12A5B" w:rsidRDefault="00684581" w:rsidP="006845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рассматриваются актуальные вопросы теории прокурорского надзора связанные с определением понятия средства прокурорского общего надзора, а также некоторые актуальные проблемы применения средств прокурорского надзора на практике. </w:t>
      </w:r>
    </w:p>
    <w:p w14:paraId="7C89E416" w14:textId="77777777" w:rsidR="00684581" w:rsidRPr="00D12A5B" w:rsidRDefault="00684581" w:rsidP="006845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00EA9" w14:textId="77777777" w:rsidR="00684581" w:rsidRPr="00D12A5B" w:rsidRDefault="00684581" w:rsidP="006845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прокурорский надзор, общий надзор, средства прокурорского надзора, полномочия прокурора, протест, представление. </w:t>
      </w:r>
    </w:p>
    <w:p w14:paraId="5F422A8E" w14:textId="77777777" w:rsidR="00E37352" w:rsidRPr="00D12A5B" w:rsidRDefault="00E37352" w:rsidP="00FB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76BE5" w14:textId="77777777" w:rsidR="00CD650A" w:rsidRPr="00D12A5B" w:rsidRDefault="00D5297F" w:rsidP="00D26F9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прокуратуру Российской Федерации согласно федеральному закону от 17 января 1992 года № 2202-1 «О прокуратуре Российской Федерации»</w:t>
      </w:r>
      <w:r w:rsidR="00343BAC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43701A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</w:t>
      </w:r>
      <w:r w:rsidR="00343BAC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032D3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3BAC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прокуратуре)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осуществлять надзор за соблюдением </w:t>
      </w:r>
      <w:hyperlink r:id="rId8" w:history="1">
        <w:r w:rsidRPr="00D12A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исполнением законов, действующих на территории Российской Федерации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поднадзорными органами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A2EFA9" w14:textId="77777777" w:rsidR="00CD650A" w:rsidRPr="00D12A5B" w:rsidRDefault="00CD650A" w:rsidP="00CD650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теории прокурорского надзора, надзор за соблюдением Конституции 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исполнением законов, действующих на территории Российской Федерации именуется общим прокурорским надзором. Данной позиции придерживаются такие ученые правоведы как Поляков М.П. и 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 Ю.Е.</w:t>
      </w:r>
    </w:p>
    <w:p w14:paraId="3FD0D41A" w14:textId="77777777" w:rsidR="009A7DCD" w:rsidRPr="00D12A5B" w:rsidRDefault="009A7DCD" w:rsidP="00CD650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Логично предположить, что законодатель, возлагая на прокуратуру вышеуказанные обязанности наделил ее и определенными средствами </w:t>
      </w:r>
      <w:r w:rsidR="00032D3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822A1D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полномочиями</w:t>
      </w:r>
      <w:r w:rsidR="00CD650A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2D3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прокурорского надзора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«средства прокурорского надзора» относится к числу наиболее значимых в теории прокурорского надзора, поскольку непосредственно связано с осуществлением прокурорской деятельности и является одним из </w:t>
      </w:r>
      <w:r w:rsidR="00CD650A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определяющих 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 </w:t>
      </w:r>
      <w:r w:rsidR="00D3508D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статуса прокуратуры. </w:t>
      </w:r>
    </w:p>
    <w:p w14:paraId="4965BBA5" w14:textId="77777777" w:rsidR="00D3508D" w:rsidRPr="00D12A5B" w:rsidRDefault="009A7DCD" w:rsidP="00D26F9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доктрине прокурорского надзора и практической деятельности помимо определения </w:t>
      </w:r>
      <w:r w:rsidR="00822A1D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прокурорского надзора</w:t>
      </w:r>
      <w:r w:rsidR="00822A1D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встретить такие термины как «средства реагирования», «полномочия прокурора», «меры прокурорского реагирования»</w:t>
      </w:r>
      <w:r w:rsidR="00032D3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«акт</w:t>
      </w:r>
      <w:r w:rsidR="00CD650A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32D3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D3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прокурорского реагирования»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D650A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взгляд все эти термины говорят об одном и том же, но данный вывод является ошибочным, 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определения</w:t>
      </w:r>
      <w:r w:rsidR="00CD650A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тождественными. </w:t>
      </w:r>
    </w:p>
    <w:p w14:paraId="5EDC7D62" w14:textId="77777777" w:rsidR="00B678EF" w:rsidRPr="00D12A5B" w:rsidRDefault="00994A35" w:rsidP="00B678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прокурорского реагирования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научной литературе,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</w:t>
      </w:r>
      <w:r w:rsidR="00CD650A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предусмотренные законодательством и совершаемые в установленном порядке действия прокурор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выявленных нарушений законности, причин и условий, им способствующих, привлечению к ответственности виновных лиц. Средства прокурорского реагирования </w:t>
      </w:r>
      <w:r w:rsidR="00CD650A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соотносятся со средствами прокурорского надзора как общее и частное, поскольку средства реагирования являются </w:t>
      </w:r>
      <w:r w:rsidR="00D3508D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CD650A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D3508D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надзора. </w:t>
      </w:r>
    </w:p>
    <w:p w14:paraId="4BC30DA4" w14:textId="77777777" w:rsidR="00B678EF" w:rsidRPr="00D12A5B" w:rsidRDefault="00B678EF" w:rsidP="00B678E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hAnsi="Times New Roman" w:cs="Times New Roman"/>
          <w:sz w:val="28"/>
          <w:szCs w:val="28"/>
        </w:rPr>
        <w:t xml:space="preserve">Относительно понятия </w:t>
      </w:r>
      <w:r w:rsidR="007D1793" w:rsidRPr="00D12A5B">
        <w:rPr>
          <w:rFonts w:ascii="Times New Roman" w:hAnsi="Times New Roman" w:cs="Times New Roman"/>
          <w:sz w:val="28"/>
          <w:szCs w:val="28"/>
        </w:rPr>
        <w:t>«</w:t>
      </w:r>
      <w:r w:rsidRPr="00D12A5B">
        <w:rPr>
          <w:rFonts w:ascii="Times New Roman" w:hAnsi="Times New Roman" w:cs="Times New Roman"/>
          <w:sz w:val="28"/>
          <w:szCs w:val="28"/>
        </w:rPr>
        <w:t>а</w:t>
      </w:r>
      <w:r w:rsidR="007D1793" w:rsidRPr="00D12A5B">
        <w:rPr>
          <w:rFonts w:ascii="Times New Roman" w:hAnsi="Times New Roman" w:cs="Times New Roman"/>
          <w:sz w:val="28"/>
          <w:szCs w:val="28"/>
        </w:rPr>
        <w:t>кты</w:t>
      </w:r>
      <w:r w:rsidRPr="00D12A5B">
        <w:rPr>
          <w:rFonts w:ascii="Times New Roman" w:hAnsi="Times New Roman" w:cs="Times New Roman"/>
          <w:sz w:val="28"/>
          <w:szCs w:val="28"/>
        </w:rPr>
        <w:t xml:space="preserve"> прокурорского реагирования</w:t>
      </w:r>
      <w:r w:rsidR="007D1793" w:rsidRPr="00D12A5B">
        <w:rPr>
          <w:rFonts w:ascii="Times New Roman" w:hAnsi="Times New Roman" w:cs="Times New Roman"/>
          <w:sz w:val="28"/>
          <w:szCs w:val="28"/>
        </w:rPr>
        <w:t>»</w:t>
      </w:r>
      <w:r w:rsidRPr="00D12A5B">
        <w:rPr>
          <w:rFonts w:ascii="Times New Roman" w:hAnsi="Times New Roman" w:cs="Times New Roman"/>
          <w:sz w:val="28"/>
          <w:szCs w:val="28"/>
        </w:rPr>
        <w:t xml:space="preserve"> имеется несколько мнений. Большинство авторов рассматривают акты как предусмотренн</w:t>
      </w:r>
      <w:r w:rsidR="00684581" w:rsidRPr="00D12A5B">
        <w:rPr>
          <w:rFonts w:ascii="Times New Roman" w:hAnsi="Times New Roman" w:cs="Times New Roman"/>
          <w:sz w:val="28"/>
          <w:szCs w:val="28"/>
        </w:rPr>
        <w:t xml:space="preserve">ые </w:t>
      </w:r>
      <w:r w:rsidRPr="00D12A5B">
        <w:rPr>
          <w:rFonts w:ascii="Times New Roman" w:hAnsi="Times New Roman" w:cs="Times New Roman"/>
          <w:sz w:val="28"/>
          <w:szCs w:val="28"/>
        </w:rPr>
        <w:t>федеральными законами правов</w:t>
      </w:r>
      <w:r w:rsidR="00684581" w:rsidRPr="00D12A5B">
        <w:rPr>
          <w:rFonts w:ascii="Times New Roman" w:hAnsi="Times New Roman" w:cs="Times New Roman"/>
          <w:sz w:val="28"/>
          <w:szCs w:val="28"/>
        </w:rPr>
        <w:t>ые</w:t>
      </w:r>
      <w:r w:rsidRPr="00D12A5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84581" w:rsidRPr="00D12A5B">
        <w:rPr>
          <w:rFonts w:ascii="Times New Roman" w:hAnsi="Times New Roman" w:cs="Times New Roman"/>
          <w:sz w:val="28"/>
          <w:szCs w:val="28"/>
        </w:rPr>
        <w:t>а</w:t>
      </w:r>
      <w:r w:rsidRPr="00D12A5B">
        <w:rPr>
          <w:rFonts w:ascii="Times New Roman" w:hAnsi="Times New Roman" w:cs="Times New Roman"/>
          <w:sz w:val="28"/>
          <w:szCs w:val="28"/>
        </w:rPr>
        <w:t xml:space="preserve"> реализации полномочий прокуратуры. Акты прокурорского реагирования, согласно мнению Ю.Е. Винокурова, являются исключительными правовыми актами прокуратуры, выносимые только прокурором в порядке реализации своих полномочий. В.Г. Бессарабов под актом прокурорского реагирования понимает нормативно закрепленное правовое средство реагирования прокурора на нарушения законов, используемое в предусмотренных законом формах в ходе реализации полномочий по выявлению, устранению и предупреждению правонарушений. В целом можно сделать вывод, что акты прокурорского реагирования являются формой реагирования прокурора на выявленные нарушения закона</w:t>
      </w:r>
      <w:r w:rsidR="00684581" w:rsidRPr="00D12A5B">
        <w:rPr>
          <w:rFonts w:ascii="Times New Roman" w:hAnsi="Times New Roman" w:cs="Times New Roman"/>
          <w:sz w:val="28"/>
          <w:szCs w:val="28"/>
        </w:rPr>
        <w:t xml:space="preserve"> и также, как и 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прокурорского реагирования</w:t>
      </w:r>
      <w:r w:rsidR="00684581" w:rsidRPr="00D12A5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реализации средств прокурорского надзора.</w:t>
      </w:r>
    </w:p>
    <w:p w14:paraId="14EF1BC8" w14:textId="77777777" w:rsidR="00D3508D" w:rsidRPr="00D12A5B" w:rsidRDefault="008C3D5A" w:rsidP="00D26F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полномочия </w:t>
      </w:r>
      <w:r w:rsidR="00D3508D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средства </w:t>
      </w:r>
      <w:r w:rsidR="00D3508D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прокурорского надзора 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науке прокурорского надзора не признаются тождественными. Е.Л. Никитин приводит следующее определение полномочий прокурора: «п</w:t>
      </w:r>
      <w:r w:rsidRPr="00D12A5B">
        <w:rPr>
          <w:rFonts w:ascii="Times New Roman" w:hAnsi="Times New Roman" w:cs="Times New Roman"/>
          <w:sz w:val="28"/>
          <w:szCs w:val="28"/>
        </w:rPr>
        <w:t>олномочия прокурора рассматриваются как право осуществлять ту или иную деятельность». Под средствами прокурорского надзора Е.Л.</w:t>
      </w:r>
      <w:r w:rsidR="00D3508D" w:rsidRPr="00D12A5B">
        <w:rPr>
          <w:rFonts w:ascii="Times New Roman" w:hAnsi="Times New Roman" w:cs="Times New Roman"/>
          <w:sz w:val="28"/>
          <w:szCs w:val="28"/>
        </w:rPr>
        <w:t xml:space="preserve"> </w:t>
      </w:r>
      <w:r w:rsidRPr="00D12A5B">
        <w:rPr>
          <w:rFonts w:ascii="Times New Roman" w:hAnsi="Times New Roman" w:cs="Times New Roman"/>
          <w:sz w:val="28"/>
          <w:szCs w:val="28"/>
        </w:rPr>
        <w:t>Никитин п</w:t>
      </w:r>
      <w:r w:rsidR="007D1793" w:rsidRPr="00D12A5B">
        <w:rPr>
          <w:rFonts w:ascii="Times New Roman" w:hAnsi="Times New Roman" w:cs="Times New Roman"/>
          <w:sz w:val="28"/>
          <w:szCs w:val="28"/>
        </w:rPr>
        <w:t>одразумевает</w:t>
      </w:r>
      <w:r w:rsidRPr="00D12A5B">
        <w:rPr>
          <w:rFonts w:ascii="Times New Roman" w:hAnsi="Times New Roman" w:cs="Times New Roman"/>
          <w:sz w:val="28"/>
          <w:szCs w:val="28"/>
        </w:rPr>
        <w:t xml:space="preserve"> </w:t>
      </w:r>
      <w:r w:rsidR="00F629F9" w:rsidRPr="00D12A5B">
        <w:rPr>
          <w:rFonts w:ascii="Times New Roman" w:hAnsi="Times New Roman" w:cs="Times New Roman"/>
          <w:sz w:val="28"/>
          <w:szCs w:val="28"/>
        </w:rPr>
        <w:t>действия,</w:t>
      </w:r>
      <w:r w:rsidRPr="00D12A5B">
        <w:rPr>
          <w:rFonts w:ascii="Times New Roman" w:hAnsi="Times New Roman" w:cs="Times New Roman"/>
          <w:sz w:val="28"/>
          <w:szCs w:val="28"/>
        </w:rPr>
        <w:t xml:space="preserve"> направленные на реализацию указанных прав</w:t>
      </w:r>
      <w:r w:rsidR="00D3508D" w:rsidRPr="00D12A5B">
        <w:rPr>
          <w:rFonts w:ascii="Times New Roman" w:hAnsi="Times New Roman" w:cs="Times New Roman"/>
          <w:sz w:val="28"/>
          <w:szCs w:val="28"/>
        </w:rPr>
        <w:t>.</w:t>
      </w:r>
      <w:r w:rsidRPr="00D12A5B">
        <w:rPr>
          <w:rFonts w:ascii="Times New Roman" w:hAnsi="Times New Roman" w:cs="Times New Roman"/>
          <w:sz w:val="28"/>
          <w:szCs w:val="28"/>
        </w:rPr>
        <w:t xml:space="preserve"> </w:t>
      </w:r>
      <w:r w:rsidR="00B678EF" w:rsidRPr="00D12A5B">
        <w:rPr>
          <w:rFonts w:ascii="Times New Roman" w:hAnsi="Times New Roman" w:cs="Times New Roman"/>
          <w:sz w:val="28"/>
          <w:szCs w:val="28"/>
        </w:rPr>
        <w:t>П</w:t>
      </w:r>
      <w:r w:rsidR="00D3508D" w:rsidRPr="00D12A5B">
        <w:rPr>
          <w:rFonts w:ascii="Times New Roman" w:hAnsi="Times New Roman" w:cs="Times New Roman"/>
          <w:sz w:val="28"/>
          <w:szCs w:val="28"/>
        </w:rPr>
        <w:t xml:space="preserve">олномочия прокурора являются составной частью средств прокурорского надзора. </w:t>
      </w:r>
    </w:p>
    <w:p w14:paraId="34097AE9" w14:textId="77777777" w:rsidR="008C3D5A" w:rsidRPr="00D12A5B" w:rsidRDefault="00B678EF" w:rsidP="00D26F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hAnsi="Times New Roman" w:cs="Times New Roman"/>
          <w:sz w:val="28"/>
          <w:szCs w:val="28"/>
        </w:rPr>
        <w:t xml:space="preserve">Е.Р. </w:t>
      </w:r>
      <w:proofErr w:type="spellStart"/>
      <w:r w:rsidRPr="00D12A5B">
        <w:rPr>
          <w:rFonts w:ascii="Times New Roman" w:hAnsi="Times New Roman" w:cs="Times New Roman"/>
          <w:sz w:val="28"/>
          <w:szCs w:val="28"/>
        </w:rPr>
        <w:t>Ергашев</w:t>
      </w:r>
      <w:proofErr w:type="spellEnd"/>
      <w:r w:rsidR="008C3D5A" w:rsidRPr="00D12A5B">
        <w:rPr>
          <w:rFonts w:ascii="Times New Roman" w:hAnsi="Times New Roman" w:cs="Times New Roman"/>
          <w:sz w:val="28"/>
          <w:szCs w:val="28"/>
        </w:rPr>
        <w:t xml:space="preserve"> в своих работах выделяет исключительно правовые средств</w:t>
      </w:r>
      <w:r w:rsidRPr="00D12A5B">
        <w:rPr>
          <w:rFonts w:ascii="Times New Roman" w:hAnsi="Times New Roman" w:cs="Times New Roman"/>
          <w:sz w:val="28"/>
          <w:szCs w:val="28"/>
        </w:rPr>
        <w:t>а</w:t>
      </w:r>
      <w:r w:rsidR="008C3D5A" w:rsidRPr="00D12A5B">
        <w:rPr>
          <w:rFonts w:ascii="Times New Roman" w:hAnsi="Times New Roman" w:cs="Times New Roman"/>
          <w:sz w:val="28"/>
          <w:szCs w:val="28"/>
        </w:rPr>
        <w:t xml:space="preserve"> прокурорского надзора</w:t>
      </w:r>
      <w:r w:rsidR="00684581" w:rsidRPr="00D12A5B">
        <w:rPr>
          <w:rFonts w:ascii="Times New Roman" w:hAnsi="Times New Roman" w:cs="Times New Roman"/>
          <w:sz w:val="28"/>
          <w:szCs w:val="28"/>
        </w:rPr>
        <w:t>, отвергая возможность существования неправовых средств,</w:t>
      </w:r>
      <w:r w:rsidR="008C3D5A" w:rsidRPr="00D12A5B">
        <w:rPr>
          <w:rFonts w:ascii="Times New Roman" w:hAnsi="Times New Roman" w:cs="Times New Roman"/>
          <w:sz w:val="28"/>
          <w:szCs w:val="28"/>
        </w:rPr>
        <w:t xml:space="preserve"> и понимает их как регламентированные законом и опосредованные его полномочиями действия, посредством которых обеспечиваются устранение выявленных нарушений законности, </w:t>
      </w:r>
      <w:r w:rsidR="008C3D5A" w:rsidRPr="00D12A5B">
        <w:rPr>
          <w:rFonts w:ascii="Times New Roman" w:hAnsi="Times New Roman" w:cs="Times New Roman"/>
          <w:sz w:val="28"/>
          <w:szCs w:val="28"/>
        </w:rPr>
        <w:lastRenderedPageBreak/>
        <w:t>причин и условий, им способствующих, и привлечение виновных лиц к предусмотренной законом ответственности.</w:t>
      </w:r>
    </w:p>
    <w:p w14:paraId="6ABCF969" w14:textId="77777777" w:rsidR="008C3D5A" w:rsidRPr="00D12A5B" w:rsidRDefault="008C3D5A" w:rsidP="00D26F9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И.А. и Михальчук Ю.П. приводят следующее определение: «Правовые средства прокурорского надзора - </w:t>
      </w:r>
      <w:r w:rsidR="00303C24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предусмотренных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нормами прав и обязанностей, а также актов правоприменения (реагирования) для достижения целей и осуществления задач прокуратуры».</w:t>
      </w:r>
    </w:p>
    <w:p w14:paraId="6EB916E5" w14:textId="77777777" w:rsidR="006B69D0" w:rsidRPr="00D12A5B" w:rsidRDefault="008C3D5A" w:rsidP="006B69D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некоторые авторы в своих работах приводят тезис о различиях в определени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«правовые средства прокурорского надзора» и «средства прокурорского надзора»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Приводя в качестве аргумента то,</w:t>
      </w:r>
      <w:r w:rsidR="00686A42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 правовыми средствами стоит понимать только те средства, которые прямо указаны в нормативно-правовых актах, а средствами прокурорского надзора являются все остальные неука</w:t>
      </w:r>
      <w:r w:rsidR="00750D48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занные прямо в законе средства, пусть и </w:t>
      </w:r>
      <w:r w:rsidR="00F629F9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вступающие </w:t>
      </w:r>
      <w:r w:rsidR="00750D48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противоречие с нормами закона</w:t>
      </w:r>
      <w:r w:rsidR="00F629F9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мнению </w:t>
      </w:r>
      <w:r w:rsidR="00750D48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 настоящей статьи,</w:t>
      </w:r>
      <w:r w:rsidR="00F629F9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средства прокурорского надзора априори являются правовыми, поскольку использование</w:t>
      </w:r>
      <w:r w:rsidR="00750D48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неправовых средств вступает в противоречие с основным при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нципом деятельности прокуратуры –</w:t>
      </w:r>
      <w:r w:rsidR="00750D48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принципом законности. С</w:t>
      </w:r>
      <w:r w:rsidR="00F629F9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оответственно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9F9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629F9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разграничении понятий правовые средства и средс</w:t>
      </w:r>
      <w:r w:rsidR="006B69D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прокурорского надзора </w:t>
      </w:r>
      <w:r w:rsidR="00684581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6B69D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B042A8" w14:textId="77777777" w:rsidR="00F629F9" w:rsidRPr="00D12A5B" w:rsidRDefault="00F629F9" w:rsidP="006B69D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Схожесть </w:t>
      </w:r>
      <w:r w:rsidR="006B69D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вышеупомянутых понятий неизбежно влечет к путанице в 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науке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прокурорского надзора, в связи с чем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выработки единого подхода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ввести в научны</w:t>
      </w:r>
      <w:r w:rsidR="007D1793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оборот собирательное понятие –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A5B">
        <w:rPr>
          <w:rFonts w:ascii="Times New Roman" w:hAnsi="Times New Roman" w:cs="Times New Roman"/>
          <w:sz w:val="28"/>
          <w:szCs w:val="28"/>
        </w:rPr>
        <w:t xml:space="preserve">средства прокурорского надзора.  </w:t>
      </w:r>
    </w:p>
    <w:p w14:paraId="7DF9FD6C" w14:textId="77777777" w:rsidR="00D3508D" w:rsidRPr="00D12A5B" w:rsidRDefault="00D3508D" w:rsidP="006B69D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законодатель </w:t>
      </w:r>
      <w:r w:rsidR="00B678E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B69D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ввел в оборот</w:t>
      </w:r>
      <w:r w:rsidR="00B678E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 дефиниций и не разграничи</w:t>
      </w:r>
      <w:r w:rsidR="006B69D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678E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 данные понятия, что и приводит к </w:t>
      </w:r>
      <w:r w:rsidR="006B69D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сложившейся </w:t>
      </w:r>
      <w:r w:rsidR="00213C27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коллизии</w:t>
      </w:r>
      <w:r w:rsidR="00B678EF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C02A1" w14:textId="77777777" w:rsidR="00053A4F" w:rsidRPr="00D12A5B" w:rsidRDefault="003D673C" w:rsidP="00D26F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hAnsi="Times New Roman" w:cs="Times New Roman"/>
          <w:sz w:val="28"/>
          <w:szCs w:val="28"/>
        </w:rPr>
        <w:t>Авторами</w:t>
      </w:r>
      <w:r w:rsidR="00F629F9" w:rsidRPr="00D12A5B">
        <w:rPr>
          <w:rFonts w:ascii="Times New Roman" w:hAnsi="Times New Roman" w:cs="Times New Roman"/>
          <w:sz w:val="28"/>
          <w:szCs w:val="28"/>
        </w:rPr>
        <w:t>, исходя из анализа мнений ученых правоведов,</w:t>
      </w:r>
      <w:r w:rsidRPr="00D12A5B">
        <w:rPr>
          <w:rFonts w:ascii="Times New Roman" w:hAnsi="Times New Roman" w:cs="Times New Roman"/>
          <w:sz w:val="28"/>
          <w:szCs w:val="28"/>
        </w:rPr>
        <w:t xml:space="preserve"> предлагается следующее понятие: </w:t>
      </w:r>
      <w:r w:rsidR="00053A4F" w:rsidRPr="00D12A5B">
        <w:rPr>
          <w:rFonts w:ascii="Times New Roman" w:hAnsi="Times New Roman" w:cs="Times New Roman"/>
          <w:sz w:val="28"/>
          <w:szCs w:val="28"/>
        </w:rPr>
        <w:t>средства</w:t>
      </w:r>
      <w:r w:rsidR="006B69D0" w:rsidRPr="00D12A5B">
        <w:rPr>
          <w:rFonts w:ascii="Times New Roman" w:hAnsi="Times New Roman" w:cs="Times New Roman"/>
          <w:sz w:val="28"/>
          <w:szCs w:val="28"/>
        </w:rPr>
        <w:t>ми</w:t>
      </w:r>
      <w:r w:rsidR="00053A4F" w:rsidRPr="00D12A5B">
        <w:rPr>
          <w:rFonts w:ascii="Times New Roman" w:hAnsi="Times New Roman" w:cs="Times New Roman"/>
          <w:sz w:val="28"/>
          <w:szCs w:val="28"/>
        </w:rPr>
        <w:t xml:space="preserve"> прокурорско</w:t>
      </w:r>
      <w:r w:rsidRPr="00D12A5B">
        <w:rPr>
          <w:rFonts w:ascii="Times New Roman" w:hAnsi="Times New Roman" w:cs="Times New Roman"/>
          <w:sz w:val="28"/>
          <w:szCs w:val="28"/>
        </w:rPr>
        <w:t>го</w:t>
      </w:r>
      <w:r w:rsidR="00053A4F" w:rsidRPr="00D12A5B">
        <w:rPr>
          <w:rFonts w:ascii="Times New Roman" w:hAnsi="Times New Roman" w:cs="Times New Roman"/>
          <w:sz w:val="28"/>
          <w:szCs w:val="28"/>
        </w:rPr>
        <w:t xml:space="preserve"> </w:t>
      </w:r>
      <w:r w:rsidRPr="00D12A5B">
        <w:rPr>
          <w:rFonts w:ascii="Times New Roman" w:hAnsi="Times New Roman" w:cs="Times New Roman"/>
          <w:sz w:val="28"/>
          <w:szCs w:val="28"/>
        </w:rPr>
        <w:t>надзора</w:t>
      </w:r>
      <w:r w:rsidR="00053A4F" w:rsidRPr="00D12A5B">
        <w:rPr>
          <w:rFonts w:ascii="Times New Roman" w:hAnsi="Times New Roman" w:cs="Times New Roman"/>
          <w:sz w:val="28"/>
          <w:szCs w:val="28"/>
        </w:rPr>
        <w:t xml:space="preserve"> </w:t>
      </w:r>
      <w:r w:rsidR="006B69D0" w:rsidRPr="00D12A5B">
        <w:rPr>
          <w:rFonts w:ascii="Times New Roman" w:hAnsi="Times New Roman" w:cs="Times New Roman"/>
          <w:sz w:val="28"/>
          <w:szCs w:val="28"/>
        </w:rPr>
        <w:t>являются</w:t>
      </w:r>
      <w:r w:rsidR="00053A4F" w:rsidRPr="00D12A5B">
        <w:rPr>
          <w:rFonts w:ascii="Times New Roman" w:hAnsi="Times New Roman" w:cs="Times New Roman"/>
          <w:sz w:val="28"/>
          <w:szCs w:val="28"/>
        </w:rPr>
        <w:t xml:space="preserve"> основанные на законе и опосредованные полномочиями </w:t>
      </w:r>
      <w:r w:rsidR="006B69D0" w:rsidRPr="00D12A5B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053A4F" w:rsidRPr="00D12A5B">
        <w:rPr>
          <w:rFonts w:ascii="Times New Roman" w:hAnsi="Times New Roman" w:cs="Times New Roman"/>
          <w:sz w:val="28"/>
          <w:szCs w:val="28"/>
        </w:rPr>
        <w:t>действия, посредством которых обеспечивается достижение стоящих перед органами прокуратуры целей и задач.</w:t>
      </w:r>
    </w:p>
    <w:p w14:paraId="027DD7FF" w14:textId="77777777" w:rsidR="00053A4F" w:rsidRPr="00D12A5B" w:rsidRDefault="009457AB" w:rsidP="00D26F9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классификаци</w:t>
      </w:r>
      <w:r w:rsidR="006B69D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 прокурорского надзора.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9D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общего надзора выделяют средства, направленные на выявление нарушений (проверки, беспрепятственный проход на территории поднадзорных органов, доступ к документам необходимым для проведения проверки, беседы с гражданами для получения объяснений), на устранение нарушений (</w:t>
      </w:r>
      <w:r w:rsidRPr="00D12A5B">
        <w:rPr>
          <w:rFonts w:ascii="Times New Roman" w:hAnsi="Times New Roman" w:cs="Times New Roman"/>
          <w:sz w:val="28"/>
          <w:szCs w:val="28"/>
        </w:rPr>
        <w:t xml:space="preserve">протест, представление, требование прокурора об изменении нормативного правового акта, заявление в суд в порядке, предусмотренном </w:t>
      </w:r>
      <w:r w:rsidR="006B69D0" w:rsidRPr="00D12A5B">
        <w:rPr>
          <w:rFonts w:ascii="Times New Roman" w:hAnsi="Times New Roman" w:cs="Times New Roman"/>
          <w:sz w:val="28"/>
          <w:szCs w:val="28"/>
        </w:rPr>
        <w:t>гражданско-</w:t>
      </w:r>
      <w:r w:rsidR="006B69D0" w:rsidRPr="00D12A5B">
        <w:rPr>
          <w:rFonts w:ascii="Times New Roman" w:hAnsi="Times New Roman" w:cs="Times New Roman"/>
          <w:sz w:val="28"/>
          <w:szCs w:val="28"/>
        </w:rPr>
        <w:lastRenderedPageBreak/>
        <w:t>процессуальным и административным законодательством),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привлечение виновных к ответственности (возбуждение производства об административном правонарушении, требование о привлечении виновных лиц к ответственности</w:t>
      </w:r>
      <w:r w:rsidR="00303C24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направленные на предупреждение правонарушений</w:t>
      </w:r>
      <w:r w:rsidR="00F267F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B69D0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превентивный характер </w:t>
      </w:r>
      <w:r w:rsidR="00303C24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о недопустимости нарушения закона). </w:t>
      </w:r>
    </w:p>
    <w:p w14:paraId="30D40EB4" w14:textId="77777777" w:rsidR="006B69D0" w:rsidRPr="00D12A5B" w:rsidRDefault="00303C24" w:rsidP="00D26F99">
      <w:pPr>
        <w:pStyle w:val="ConsPlusNormal"/>
        <w:ind w:firstLine="425"/>
        <w:jc w:val="both"/>
        <w:rPr>
          <w:sz w:val="28"/>
          <w:szCs w:val="28"/>
        </w:rPr>
      </w:pPr>
      <w:r w:rsidRPr="00D12A5B">
        <w:rPr>
          <w:sz w:val="28"/>
          <w:szCs w:val="28"/>
        </w:rPr>
        <w:t xml:space="preserve">Практика применения вышеупомянутых средств прокурорского надзора показала, что имеются некоторые несовершенства в законодательном регулировании. </w:t>
      </w:r>
    </w:p>
    <w:p w14:paraId="5244EAA8" w14:textId="77777777" w:rsidR="00D26F99" w:rsidRPr="00D12A5B" w:rsidRDefault="00303C24" w:rsidP="00D26F99">
      <w:pPr>
        <w:pStyle w:val="ConsPlusNormal"/>
        <w:ind w:firstLine="425"/>
        <w:jc w:val="both"/>
        <w:rPr>
          <w:sz w:val="28"/>
          <w:szCs w:val="28"/>
        </w:rPr>
      </w:pPr>
      <w:r w:rsidRPr="00D12A5B">
        <w:rPr>
          <w:sz w:val="28"/>
          <w:szCs w:val="28"/>
        </w:rPr>
        <w:t xml:space="preserve">Так, например, в отношении протеста и представления не распространяет своё действие статья 6 Закона о прокуратуре (обязательность исполнения требований прокурора). Исходя из </w:t>
      </w:r>
      <w:r w:rsidR="00D26F99" w:rsidRPr="00D12A5B">
        <w:rPr>
          <w:sz w:val="28"/>
          <w:szCs w:val="28"/>
        </w:rPr>
        <w:t>этого можно</w:t>
      </w:r>
      <w:r w:rsidR="00D6031A" w:rsidRPr="00D12A5B">
        <w:rPr>
          <w:sz w:val="28"/>
          <w:szCs w:val="28"/>
        </w:rPr>
        <w:t xml:space="preserve"> сделать вывод, что данные средства прокурорского надзора </w:t>
      </w:r>
      <w:r w:rsidR="00D26F99" w:rsidRPr="00D12A5B">
        <w:rPr>
          <w:sz w:val="28"/>
          <w:szCs w:val="28"/>
        </w:rPr>
        <w:t xml:space="preserve">не наделены </w:t>
      </w:r>
      <w:r w:rsidR="00F267F0" w:rsidRPr="00D12A5B">
        <w:rPr>
          <w:sz w:val="28"/>
          <w:szCs w:val="28"/>
        </w:rPr>
        <w:t>свойством</w:t>
      </w:r>
      <w:r w:rsidR="00D26F99" w:rsidRPr="00D12A5B">
        <w:rPr>
          <w:sz w:val="28"/>
          <w:szCs w:val="28"/>
        </w:rPr>
        <w:t xml:space="preserve"> принудительного исполнения и соответственно </w:t>
      </w:r>
      <w:r w:rsidR="00D6031A" w:rsidRPr="00D12A5B">
        <w:rPr>
          <w:sz w:val="28"/>
          <w:szCs w:val="28"/>
        </w:rPr>
        <w:t xml:space="preserve">необязательны к исполнению. Настоящий вывод подтверждается </w:t>
      </w:r>
      <w:r w:rsidR="006B69D0" w:rsidRPr="00D12A5B">
        <w:rPr>
          <w:sz w:val="28"/>
          <w:szCs w:val="28"/>
        </w:rPr>
        <w:t>позицией высш</w:t>
      </w:r>
      <w:r w:rsidR="00F267F0" w:rsidRPr="00D12A5B">
        <w:rPr>
          <w:sz w:val="28"/>
          <w:szCs w:val="28"/>
        </w:rPr>
        <w:t>их</w:t>
      </w:r>
      <w:r w:rsidR="006B69D0" w:rsidRPr="00D12A5B">
        <w:rPr>
          <w:sz w:val="28"/>
          <w:szCs w:val="28"/>
        </w:rPr>
        <w:t xml:space="preserve"> судебн</w:t>
      </w:r>
      <w:r w:rsidR="00F267F0" w:rsidRPr="00D12A5B">
        <w:rPr>
          <w:sz w:val="28"/>
          <w:szCs w:val="28"/>
        </w:rPr>
        <w:t>ых</w:t>
      </w:r>
      <w:r w:rsidR="006B69D0" w:rsidRPr="00D12A5B">
        <w:rPr>
          <w:sz w:val="28"/>
          <w:szCs w:val="28"/>
        </w:rPr>
        <w:t xml:space="preserve"> инстанци</w:t>
      </w:r>
      <w:r w:rsidR="00F267F0" w:rsidRPr="00D12A5B">
        <w:rPr>
          <w:sz w:val="28"/>
          <w:szCs w:val="28"/>
        </w:rPr>
        <w:t>й</w:t>
      </w:r>
      <w:r w:rsidR="00D6031A" w:rsidRPr="00D12A5B">
        <w:rPr>
          <w:sz w:val="28"/>
          <w:szCs w:val="28"/>
        </w:rPr>
        <w:t xml:space="preserve">, согласно которой требования прокурора, содержащиеся в представлениях и протестах, не обладают силой принудительного исполнения. </w:t>
      </w:r>
    </w:p>
    <w:p w14:paraId="38EB02A7" w14:textId="77777777" w:rsidR="006B69D0" w:rsidRPr="00D12A5B" w:rsidRDefault="00D6031A" w:rsidP="006B69D0">
      <w:pPr>
        <w:pStyle w:val="ConsPlusNormal"/>
        <w:ind w:firstLine="425"/>
        <w:jc w:val="both"/>
        <w:rPr>
          <w:sz w:val="28"/>
          <w:szCs w:val="28"/>
        </w:rPr>
      </w:pPr>
      <w:r w:rsidRPr="00D12A5B">
        <w:rPr>
          <w:sz w:val="28"/>
          <w:szCs w:val="28"/>
        </w:rPr>
        <w:t xml:space="preserve">Конституционный Суд Российской Федерации указывает, что в представление прокурора заложена цель понудить лиц устранить нарушения в добровольном порядке, в связи с чем </w:t>
      </w:r>
      <w:r w:rsidR="006B69D0" w:rsidRPr="00D12A5B">
        <w:rPr>
          <w:sz w:val="28"/>
          <w:szCs w:val="28"/>
        </w:rPr>
        <w:t>оно</w:t>
      </w:r>
      <w:r w:rsidRPr="00D12A5B">
        <w:rPr>
          <w:sz w:val="28"/>
          <w:szCs w:val="28"/>
        </w:rPr>
        <w:t xml:space="preserve"> не</w:t>
      </w:r>
      <w:r w:rsidR="00F267F0" w:rsidRPr="00D12A5B">
        <w:rPr>
          <w:sz w:val="28"/>
          <w:szCs w:val="28"/>
        </w:rPr>
        <w:t xml:space="preserve"> должно быть</w:t>
      </w:r>
      <w:r w:rsidRPr="00D12A5B">
        <w:rPr>
          <w:sz w:val="28"/>
          <w:szCs w:val="28"/>
        </w:rPr>
        <w:t xml:space="preserve"> наделено свойством обязательности исполнения. </w:t>
      </w:r>
      <w:r w:rsidR="00F267F0" w:rsidRPr="00D12A5B">
        <w:rPr>
          <w:sz w:val="28"/>
          <w:szCs w:val="28"/>
        </w:rPr>
        <w:t>В</w:t>
      </w:r>
      <w:r w:rsidR="006B69D0" w:rsidRPr="00D12A5B">
        <w:rPr>
          <w:sz w:val="28"/>
          <w:szCs w:val="28"/>
        </w:rPr>
        <w:t xml:space="preserve">озможность прокурора возбуждать производство об административном правонарушении по </w:t>
      </w:r>
      <w:r w:rsidR="00F267F0" w:rsidRPr="00D12A5B">
        <w:rPr>
          <w:sz w:val="28"/>
          <w:szCs w:val="28"/>
        </w:rPr>
        <w:t>ф</w:t>
      </w:r>
      <w:r w:rsidR="006B69D0" w:rsidRPr="00D12A5B">
        <w:rPr>
          <w:sz w:val="28"/>
          <w:szCs w:val="28"/>
        </w:rPr>
        <w:t>акту невыполнения законных требований прокурора (ст. 17.7 Кодекса Российской Федерации об административных правонарушениях</w:t>
      </w:r>
      <w:r w:rsidR="00F267F0" w:rsidRPr="00D12A5B">
        <w:rPr>
          <w:sz w:val="28"/>
          <w:szCs w:val="28"/>
        </w:rPr>
        <w:t xml:space="preserve"> (далее – КоАП РФ</w:t>
      </w:r>
      <w:r w:rsidR="006B69D0" w:rsidRPr="00D12A5B">
        <w:rPr>
          <w:sz w:val="28"/>
          <w:szCs w:val="28"/>
        </w:rPr>
        <w:t xml:space="preserve">) является </w:t>
      </w:r>
      <w:r w:rsidR="00F267F0" w:rsidRPr="00D12A5B">
        <w:rPr>
          <w:sz w:val="28"/>
          <w:szCs w:val="28"/>
        </w:rPr>
        <w:t>гарантией</w:t>
      </w:r>
      <w:r w:rsidR="006B69D0" w:rsidRPr="00D12A5B">
        <w:rPr>
          <w:sz w:val="28"/>
          <w:szCs w:val="28"/>
        </w:rPr>
        <w:t xml:space="preserve"> безусловности исполнения </w:t>
      </w:r>
      <w:r w:rsidR="00F267F0" w:rsidRPr="00D12A5B">
        <w:rPr>
          <w:sz w:val="28"/>
          <w:szCs w:val="28"/>
        </w:rPr>
        <w:t xml:space="preserve">требования прокурора изложенном в </w:t>
      </w:r>
      <w:r w:rsidR="006B69D0" w:rsidRPr="00D12A5B">
        <w:rPr>
          <w:sz w:val="28"/>
          <w:szCs w:val="28"/>
        </w:rPr>
        <w:t>представлени</w:t>
      </w:r>
      <w:r w:rsidR="00F267F0" w:rsidRPr="00D12A5B">
        <w:rPr>
          <w:sz w:val="28"/>
          <w:szCs w:val="28"/>
        </w:rPr>
        <w:t>и</w:t>
      </w:r>
      <w:r w:rsidR="006B69D0" w:rsidRPr="00D12A5B">
        <w:rPr>
          <w:sz w:val="28"/>
          <w:szCs w:val="28"/>
        </w:rPr>
        <w:t xml:space="preserve">. </w:t>
      </w:r>
    </w:p>
    <w:p w14:paraId="2AD18F6B" w14:textId="77777777" w:rsidR="00D6031A" w:rsidRPr="00D12A5B" w:rsidRDefault="00D6031A" w:rsidP="00D26F99">
      <w:pPr>
        <w:pStyle w:val="ConsPlusNormal"/>
        <w:ind w:firstLine="425"/>
        <w:jc w:val="both"/>
        <w:rPr>
          <w:sz w:val="28"/>
          <w:szCs w:val="28"/>
        </w:rPr>
      </w:pPr>
      <w:r w:rsidRPr="00D12A5B">
        <w:rPr>
          <w:sz w:val="28"/>
          <w:szCs w:val="28"/>
        </w:rPr>
        <w:t xml:space="preserve">Такая позиция Конституционного Суда </w:t>
      </w:r>
      <w:r w:rsidR="00B44EA5" w:rsidRPr="00D12A5B">
        <w:rPr>
          <w:sz w:val="28"/>
          <w:szCs w:val="28"/>
        </w:rPr>
        <w:t>Российской Федерации</w:t>
      </w:r>
      <w:r w:rsidRPr="00D12A5B">
        <w:rPr>
          <w:sz w:val="28"/>
          <w:szCs w:val="28"/>
        </w:rPr>
        <w:t xml:space="preserve"> порождает неопределённость</w:t>
      </w:r>
      <w:r w:rsidR="00B44EA5" w:rsidRPr="00D12A5B">
        <w:rPr>
          <w:sz w:val="28"/>
          <w:szCs w:val="28"/>
        </w:rPr>
        <w:t>.</w:t>
      </w:r>
      <w:r w:rsidRPr="00D12A5B">
        <w:rPr>
          <w:sz w:val="28"/>
          <w:szCs w:val="28"/>
        </w:rPr>
        <w:t xml:space="preserve"> </w:t>
      </w:r>
      <w:r w:rsidR="00B44EA5" w:rsidRPr="00D12A5B">
        <w:rPr>
          <w:sz w:val="28"/>
          <w:szCs w:val="28"/>
        </w:rPr>
        <w:t>С</w:t>
      </w:r>
      <w:r w:rsidRPr="00D12A5B">
        <w:rPr>
          <w:sz w:val="28"/>
          <w:szCs w:val="28"/>
        </w:rPr>
        <w:t xml:space="preserve"> одной стороны, Конституционный Суд Российской Федерации разъяснил, что требования прокурора, изложенные в представлении, не могут возложить какие-либо обязанности на лицо, в адрес которого оно внесено, однако, с другой стороны, в случае их неисполнения прокурор все же вправе вынести постановление о возбуждении производства об административном правонарушении</w:t>
      </w:r>
      <w:r w:rsidR="00F267F0" w:rsidRPr="00D12A5B">
        <w:rPr>
          <w:sz w:val="28"/>
          <w:szCs w:val="28"/>
        </w:rPr>
        <w:t xml:space="preserve">. </w:t>
      </w:r>
      <w:r w:rsidR="00D208C3" w:rsidRPr="00D12A5B">
        <w:rPr>
          <w:sz w:val="28"/>
          <w:szCs w:val="28"/>
        </w:rPr>
        <w:t>/4/</w:t>
      </w:r>
      <w:r w:rsidRPr="00D12A5B">
        <w:rPr>
          <w:sz w:val="28"/>
          <w:szCs w:val="28"/>
        </w:rPr>
        <w:t xml:space="preserve">. </w:t>
      </w:r>
    </w:p>
    <w:p w14:paraId="4477D20A" w14:textId="77777777" w:rsidR="000F5609" w:rsidRPr="00D12A5B" w:rsidRDefault="00B44EA5" w:rsidP="000F5609">
      <w:pPr>
        <w:pStyle w:val="ConsPlusNormal"/>
        <w:ind w:firstLine="425"/>
        <w:jc w:val="both"/>
        <w:rPr>
          <w:sz w:val="28"/>
          <w:szCs w:val="28"/>
        </w:rPr>
      </w:pPr>
      <w:r w:rsidRPr="00D12A5B">
        <w:rPr>
          <w:sz w:val="28"/>
          <w:szCs w:val="28"/>
        </w:rPr>
        <w:t>По мнению авторов настоящей статьи, прокурор действительно может в случае неисполнения любого из своих актов, прямо вытекающих из его полномочий, обратиться в суд с ц</w:t>
      </w:r>
      <w:r w:rsidR="00213C27" w:rsidRPr="00D12A5B">
        <w:rPr>
          <w:sz w:val="28"/>
          <w:szCs w:val="28"/>
        </w:rPr>
        <w:t xml:space="preserve">елью привлечения </w:t>
      </w:r>
      <w:r w:rsidR="00F267F0" w:rsidRPr="00D12A5B">
        <w:rPr>
          <w:sz w:val="28"/>
          <w:szCs w:val="28"/>
        </w:rPr>
        <w:lastRenderedPageBreak/>
        <w:t>не исполнившего</w:t>
      </w:r>
      <w:r w:rsidRPr="00D12A5B">
        <w:rPr>
          <w:sz w:val="28"/>
          <w:szCs w:val="28"/>
        </w:rPr>
        <w:t xml:space="preserve"> требование прокурор</w:t>
      </w:r>
      <w:r w:rsidR="00213C27" w:rsidRPr="00D12A5B">
        <w:rPr>
          <w:sz w:val="28"/>
          <w:szCs w:val="28"/>
        </w:rPr>
        <w:t>а лица</w:t>
      </w:r>
      <w:r w:rsidRPr="00D12A5B">
        <w:rPr>
          <w:sz w:val="28"/>
          <w:szCs w:val="28"/>
        </w:rPr>
        <w:t xml:space="preserve"> к ответственности. Однако</w:t>
      </w:r>
      <w:r w:rsidR="00213C27" w:rsidRPr="00D12A5B">
        <w:rPr>
          <w:sz w:val="28"/>
          <w:szCs w:val="28"/>
        </w:rPr>
        <w:t>,</w:t>
      </w:r>
      <w:r w:rsidRPr="00D12A5B">
        <w:rPr>
          <w:sz w:val="28"/>
          <w:szCs w:val="28"/>
        </w:rPr>
        <w:t xml:space="preserve"> это влечет к затягиванию сроков устранения выявленных нарушений. </w:t>
      </w:r>
    </w:p>
    <w:p w14:paraId="43C19F20" w14:textId="77777777" w:rsidR="00D6031A" w:rsidRPr="00D12A5B" w:rsidRDefault="00D6031A" w:rsidP="00D26F99">
      <w:pPr>
        <w:pStyle w:val="ConsPlusNormal"/>
        <w:ind w:firstLine="425"/>
        <w:jc w:val="both"/>
        <w:rPr>
          <w:sz w:val="28"/>
          <w:szCs w:val="28"/>
        </w:rPr>
      </w:pPr>
      <w:r w:rsidRPr="00D12A5B">
        <w:rPr>
          <w:sz w:val="28"/>
          <w:szCs w:val="28"/>
        </w:rPr>
        <w:t>Относительно протеста</w:t>
      </w:r>
      <w:r w:rsidR="00213C27" w:rsidRPr="00D12A5B">
        <w:rPr>
          <w:sz w:val="28"/>
          <w:szCs w:val="28"/>
        </w:rPr>
        <w:t>,</w:t>
      </w:r>
      <w:r w:rsidRPr="00D12A5B">
        <w:rPr>
          <w:sz w:val="28"/>
          <w:szCs w:val="28"/>
        </w:rPr>
        <w:t xml:space="preserve"> свое</w:t>
      </w:r>
      <w:r w:rsidR="00213C27" w:rsidRPr="00D12A5B">
        <w:rPr>
          <w:sz w:val="28"/>
          <w:szCs w:val="28"/>
        </w:rPr>
        <w:t xml:space="preserve"> мнение,</w:t>
      </w:r>
      <w:r w:rsidRPr="00D12A5B">
        <w:rPr>
          <w:sz w:val="28"/>
          <w:szCs w:val="28"/>
        </w:rPr>
        <w:t xml:space="preserve"> </w:t>
      </w:r>
      <w:r w:rsidR="00B44EA5" w:rsidRPr="00D12A5B">
        <w:rPr>
          <w:sz w:val="28"/>
          <w:szCs w:val="28"/>
        </w:rPr>
        <w:t>схожее</w:t>
      </w:r>
      <w:r w:rsidRPr="00D12A5B">
        <w:rPr>
          <w:sz w:val="28"/>
          <w:szCs w:val="28"/>
        </w:rPr>
        <w:t xml:space="preserve"> </w:t>
      </w:r>
      <w:r w:rsidR="00D26F99" w:rsidRPr="00D12A5B">
        <w:rPr>
          <w:sz w:val="28"/>
          <w:szCs w:val="28"/>
        </w:rPr>
        <w:t xml:space="preserve">с </w:t>
      </w:r>
      <w:r w:rsidR="00213C27" w:rsidRPr="00D12A5B">
        <w:rPr>
          <w:sz w:val="28"/>
          <w:szCs w:val="28"/>
        </w:rPr>
        <w:t>позицией</w:t>
      </w:r>
      <w:r w:rsidR="00D26F99" w:rsidRPr="00D12A5B">
        <w:rPr>
          <w:sz w:val="28"/>
          <w:szCs w:val="28"/>
        </w:rPr>
        <w:t xml:space="preserve"> Конституционного Суда </w:t>
      </w:r>
      <w:r w:rsidR="00B44EA5" w:rsidRPr="00D12A5B">
        <w:rPr>
          <w:sz w:val="28"/>
          <w:szCs w:val="28"/>
        </w:rPr>
        <w:t>Российской Федерации</w:t>
      </w:r>
      <w:r w:rsidR="00213C27" w:rsidRPr="00D12A5B">
        <w:rPr>
          <w:sz w:val="28"/>
          <w:szCs w:val="28"/>
        </w:rPr>
        <w:t>,</w:t>
      </w:r>
      <w:r w:rsidRPr="00D12A5B">
        <w:rPr>
          <w:sz w:val="28"/>
          <w:szCs w:val="28"/>
        </w:rPr>
        <w:t xml:space="preserve"> высказал Верховный Суд </w:t>
      </w:r>
      <w:r w:rsidR="00B44EA5" w:rsidRPr="00D12A5B">
        <w:rPr>
          <w:sz w:val="28"/>
          <w:szCs w:val="28"/>
        </w:rPr>
        <w:t>Российской Федерации</w:t>
      </w:r>
      <w:r w:rsidRPr="00D12A5B">
        <w:rPr>
          <w:sz w:val="28"/>
          <w:szCs w:val="28"/>
        </w:rPr>
        <w:t xml:space="preserve">. Согласно </w:t>
      </w:r>
      <w:r w:rsidR="00D26F99" w:rsidRPr="00D12A5B">
        <w:rPr>
          <w:sz w:val="28"/>
          <w:szCs w:val="28"/>
        </w:rPr>
        <w:t>которому</w:t>
      </w:r>
      <w:r w:rsidR="00213C27" w:rsidRPr="00D12A5B">
        <w:rPr>
          <w:sz w:val="28"/>
          <w:szCs w:val="28"/>
        </w:rPr>
        <w:t>,</w:t>
      </w:r>
      <w:r w:rsidRPr="00D12A5B">
        <w:rPr>
          <w:sz w:val="28"/>
          <w:szCs w:val="28"/>
        </w:rPr>
        <w:t xml:space="preserve"> законодатель в Законе о прокуратуре не возлагает на лицо, принявшее акт</w:t>
      </w:r>
      <w:r w:rsidR="00B44EA5" w:rsidRPr="00D12A5B">
        <w:rPr>
          <w:sz w:val="28"/>
          <w:szCs w:val="28"/>
        </w:rPr>
        <w:t xml:space="preserve"> на который прокурором принесен протест</w:t>
      </w:r>
      <w:r w:rsidRPr="00D12A5B">
        <w:rPr>
          <w:sz w:val="28"/>
          <w:szCs w:val="28"/>
        </w:rPr>
        <w:t xml:space="preserve">, обязанность по </w:t>
      </w:r>
      <w:r w:rsidR="00213C27" w:rsidRPr="00D12A5B">
        <w:rPr>
          <w:sz w:val="28"/>
          <w:szCs w:val="28"/>
        </w:rPr>
        <w:t>отмене или изменению этого акта. Д</w:t>
      </w:r>
      <w:r w:rsidRPr="00D12A5B">
        <w:rPr>
          <w:sz w:val="28"/>
          <w:szCs w:val="28"/>
        </w:rPr>
        <w:t xml:space="preserve">анному лицу необходимо </w:t>
      </w:r>
      <w:r w:rsidR="00B44EA5" w:rsidRPr="00D12A5B">
        <w:rPr>
          <w:sz w:val="28"/>
          <w:szCs w:val="28"/>
        </w:rPr>
        <w:t xml:space="preserve">в десятидневный срок </w:t>
      </w:r>
      <w:r w:rsidRPr="00D12A5B">
        <w:rPr>
          <w:sz w:val="28"/>
          <w:szCs w:val="28"/>
        </w:rPr>
        <w:t xml:space="preserve">рассмотреть </w:t>
      </w:r>
      <w:r w:rsidR="00B44EA5" w:rsidRPr="00D12A5B">
        <w:rPr>
          <w:sz w:val="28"/>
          <w:szCs w:val="28"/>
        </w:rPr>
        <w:t>принесенный</w:t>
      </w:r>
      <w:r w:rsidRPr="00D12A5B">
        <w:rPr>
          <w:sz w:val="28"/>
          <w:szCs w:val="28"/>
        </w:rPr>
        <w:t xml:space="preserve"> протест и сообщить </w:t>
      </w:r>
      <w:r w:rsidR="00B44EA5" w:rsidRPr="00D12A5B">
        <w:rPr>
          <w:sz w:val="28"/>
          <w:szCs w:val="28"/>
        </w:rPr>
        <w:t xml:space="preserve">в письменной форме прокурору </w:t>
      </w:r>
      <w:r w:rsidRPr="00D12A5B">
        <w:rPr>
          <w:sz w:val="28"/>
          <w:szCs w:val="28"/>
        </w:rPr>
        <w:t>о результатах рассмотрения</w:t>
      </w:r>
      <w:r w:rsidR="00D208C3" w:rsidRPr="00D12A5B">
        <w:rPr>
          <w:sz w:val="28"/>
          <w:szCs w:val="28"/>
        </w:rPr>
        <w:t xml:space="preserve"> /2/</w:t>
      </w:r>
      <w:r w:rsidRPr="00D12A5B">
        <w:rPr>
          <w:sz w:val="28"/>
          <w:szCs w:val="28"/>
        </w:rPr>
        <w:t>.</w:t>
      </w:r>
    </w:p>
    <w:p w14:paraId="76027220" w14:textId="77777777" w:rsidR="00D26F99" w:rsidRPr="00D12A5B" w:rsidRDefault="00D26F99" w:rsidP="00D26F99">
      <w:pPr>
        <w:pStyle w:val="ConsPlusNormal"/>
        <w:ind w:firstLine="425"/>
        <w:jc w:val="both"/>
        <w:rPr>
          <w:sz w:val="28"/>
          <w:szCs w:val="28"/>
        </w:rPr>
      </w:pPr>
      <w:r w:rsidRPr="00D12A5B">
        <w:rPr>
          <w:sz w:val="28"/>
          <w:szCs w:val="28"/>
        </w:rPr>
        <w:t>Исходя из изложенного</w:t>
      </w:r>
      <w:r w:rsidR="00F267F0" w:rsidRPr="00D12A5B">
        <w:rPr>
          <w:sz w:val="28"/>
          <w:szCs w:val="28"/>
        </w:rPr>
        <w:t>,</w:t>
      </w:r>
      <w:r w:rsidRPr="00D12A5B">
        <w:rPr>
          <w:sz w:val="28"/>
          <w:szCs w:val="28"/>
        </w:rPr>
        <w:t xml:space="preserve"> авторам представляется необходимым включить </w:t>
      </w:r>
      <w:r w:rsidR="00B44EA5" w:rsidRPr="00D12A5B">
        <w:rPr>
          <w:sz w:val="28"/>
          <w:szCs w:val="28"/>
        </w:rPr>
        <w:t>протест и представление</w:t>
      </w:r>
      <w:r w:rsidR="00BD3884" w:rsidRPr="00D12A5B">
        <w:rPr>
          <w:sz w:val="28"/>
          <w:szCs w:val="28"/>
        </w:rPr>
        <w:t xml:space="preserve"> в перечень </w:t>
      </w:r>
      <w:r w:rsidR="00D208C3" w:rsidRPr="00D12A5B">
        <w:rPr>
          <w:sz w:val="28"/>
          <w:szCs w:val="28"/>
        </w:rPr>
        <w:t>статей,</w:t>
      </w:r>
      <w:r w:rsidR="00BD3884" w:rsidRPr="00D12A5B">
        <w:rPr>
          <w:sz w:val="28"/>
          <w:szCs w:val="28"/>
        </w:rPr>
        <w:t xml:space="preserve"> указанны</w:t>
      </w:r>
      <w:r w:rsidR="00B44EA5" w:rsidRPr="00D12A5B">
        <w:rPr>
          <w:sz w:val="28"/>
          <w:szCs w:val="28"/>
        </w:rPr>
        <w:t>х</w:t>
      </w:r>
      <w:r w:rsidR="00BD3884" w:rsidRPr="00D12A5B">
        <w:rPr>
          <w:sz w:val="28"/>
          <w:szCs w:val="28"/>
        </w:rPr>
        <w:t xml:space="preserve"> в ст. 6 Закона о прокуратуре, тем самым исключив возможность неточного их толкования и однозначно решив вопрос об обязательности </w:t>
      </w:r>
      <w:r w:rsidR="00B44EA5" w:rsidRPr="00D12A5B">
        <w:rPr>
          <w:sz w:val="28"/>
          <w:szCs w:val="28"/>
        </w:rPr>
        <w:t xml:space="preserve">исполнения </w:t>
      </w:r>
      <w:r w:rsidR="00BD3884" w:rsidRPr="00D12A5B">
        <w:rPr>
          <w:sz w:val="28"/>
          <w:szCs w:val="28"/>
        </w:rPr>
        <w:t>вышеуказанны</w:t>
      </w:r>
      <w:r w:rsidR="00B44EA5" w:rsidRPr="00D12A5B">
        <w:rPr>
          <w:sz w:val="28"/>
          <w:szCs w:val="28"/>
        </w:rPr>
        <w:t>х</w:t>
      </w:r>
      <w:r w:rsidR="00F267F0" w:rsidRPr="00D12A5B">
        <w:rPr>
          <w:sz w:val="28"/>
          <w:szCs w:val="28"/>
        </w:rPr>
        <w:t xml:space="preserve"> средств</w:t>
      </w:r>
      <w:r w:rsidR="00BD3884" w:rsidRPr="00D12A5B">
        <w:rPr>
          <w:sz w:val="28"/>
          <w:szCs w:val="28"/>
        </w:rPr>
        <w:t xml:space="preserve"> прокурорского надзора. </w:t>
      </w:r>
    </w:p>
    <w:p w14:paraId="56E13E38" w14:textId="77777777" w:rsidR="006C17A9" w:rsidRPr="00D12A5B" w:rsidRDefault="000F5609" w:rsidP="006C17A9">
      <w:pPr>
        <w:pStyle w:val="ConsPlusNormal"/>
        <w:ind w:firstLine="425"/>
        <w:jc w:val="both"/>
        <w:rPr>
          <w:sz w:val="28"/>
          <w:szCs w:val="28"/>
        </w:rPr>
      </w:pPr>
      <w:r w:rsidRPr="00D12A5B">
        <w:rPr>
          <w:sz w:val="28"/>
          <w:szCs w:val="28"/>
        </w:rPr>
        <w:t>Помимо этого, для сохранения баланса интересов, авторам представляется целесообразным включить в Закон о прокуратуре возможность лица</w:t>
      </w:r>
      <w:r w:rsidR="006C17A9" w:rsidRPr="00D12A5B">
        <w:rPr>
          <w:sz w:val="28"/>
          <w:szCs w:val="28"/>
        </w:rPr>
        <w:t>,</w:t>
      </w:r>
      <w:r w:rsidRPr="00D12A5B">
        <w:rPr>
          <w:sz w:val="28"/>
          <w:szCs w:val="28"/>
        </w:rPr>
        <w:t xml:space="preserve"> к которому прокурором применены средства прокурорского надзора, обжаловать такие действия </w:t>
      </w:r>
      <w:r w:rsidR="006C17A9" w:rsidRPr="00D12A5B">
        <w:rPr>
          <w:sz w:val="28"/>
          <w:szCs w:val="28"/>
        </w:rPr>
        <w:t>вышестоящему прокурору</w:t>
      </w:r>
      <w:r w:rsidRPr="00D12A5B">
        <w:rPr>
          <w:sz w:val="28"/>
          <w:szCs w:val="28"/>
        </w:rPr>
        <w:t>. В настоящее время в Законе о прокуратуре порядок обжалования не прописан</w:t>
      </w:r>
      <w:r w:rsidR="00213C27" w:rsidRPr="00D12A5B">
        <w:rPr>
          <w:sz w:val="28"/>
          <w:szCs w:val="28"/>
        </w:rPr>
        <w:t>,</w:t>
      </w:r>
      <w:r w:rsidR="006C17A9" w:rsidRPr="00D12A5B">
        <w:rPr>
          <w:sz w:val="28"/>
          <w:szCs w:val="28"/>
        </w:rPr>
        <w:t xml:space="preserve"> и лица</w:t>
      </w:r>
      <w:r w:rsidR="00213C27" w:rsidRPr="00D12A5B">
        <w:rPr>
          <w:sz w:val="28"/>
          <w:szCs w:val="28"/>
        </w:rPr>
        <w:t>,</w:t>
      </w:r>
      <w:r w:rsidR="006C17A9" w:rsidRPr="00D12A5B">
        <w:rPr>
          <w:sz w:val="28"/>
          <w:szCs w:val="28"/>
        </w:rPr>
        <w:t xml:space="preserve"> несогласные с примененными к ним мерами</w:t>
      </w:r>
      <w:r w:rsidR="00213C27" w:rsidRPr="00D12A5B">
        <w:rPr>
          <w:sz w:val="28"/>
          <w:szCs w:val="28"/>
        </w:rPr>
        <w:t>,</w:t>
      </w:r>
      <w:r w:rsidR="006C17A9" w:rsidRPr="00D12A5B">
        <w:rPr>
          <w:sz w:val="28"/>
          <w:szCs w:val="28"/>
        </w:rPr>
        <w:t xml:space="preserve"> обращаются в суд в порядке установленным Кодексом административного судопроизводства Российской Федерации. Право на обращение к вышестоящему прокурору ускорит процесс восстановления законности и снизит нагрузку на судебную систему. </w:t>
      </w:r>
    </w:p>
    <w:p w14:paraId="1A1CC948" w14:textId="77777777" w:rsidR="00BD3884" w:rsidRPr="00D12A5B" w:rsidRDefault="00BD3884" w:rsidP="00BD3884">
      <w:pPr>
        <w:pStyle w:val="ConsPlusNormal"/>
        <w:ind w:firstLine="425"/>
        <w:jc w:val="both"/>
        <w:rPr>
          <w:sz w:val="28"/>
          <w:szCs w:val="28"/>
        </w:rPr>
      </w:pPr>
      <w:r w:rsidRPr="00D12A5B">
        <w:rPr>
          <w:sz w:val="28"/>
          <w:szCs w:val="28"/>
        </w:rPr>
        <w:t>В научной литературе существует также мнение, с которым авторы настоящей статьи безусловно согласны, о необходимости признания на законодательном уровне обязательными для исполнения все</w:t>
      </w:r>
      <w:r w:rsidR="006C17A9" w:rsidRPr="00D12A5B">
        <w:rPr>
          <w:sz w:val="28"/>
          <w:szCs w:val="28"/>
        </w:rPr>
        <w:t>х</w:t>
      </w:r>
      <w:r w:rsidRPr="00D12A5B">
        <w:rPr>
          <w:sz w:val="28"/>
          <w:szCs w:val="28"/>
        </w:rPr>
        <w:t xml:space="preserve"> </w:t>
      </w:r>
      <w:r w:rsidR="006F7E66" w:rsidRPr="00D12A5B">
        <w:rPr>
          <w:sz w:val="28"/>
          <w:szCs w:val="28"/>
        </w:rPr>
        <w:t>требований прокурора, вытекающих</w:t>
      </w:r>
      <w:r w:rsidRPr="00D12A5B">
        <w:rPr>
          <w:sz w:val="28"/>
          <w:szCs w:val="28"/>
        </w:rPr>
        <w:t xml:space="preserve"> из его полномочий</w:t>
      </w:r>
      <w:r w:rsidR="00F267F0" w:rsidRPr="00D12A5B">
        <w:rPr>
          <w:sz w:val="28"/>
          <w:szCs w:val="28"/>
        </w:rPr>
        <w:t xml:space="preserve">. Данная мера с учетом установления законодателем возможности обжалования вынесенных прокурором актов безусловно повысит уровень законности и ускорит время устранения нарушений, выявленных прокурором. </w:t>
      </w:r>
    </w:p>
    <w:p w14:paraId="5D6287F3" w14:textId="77777777" w:rsidR="00D25E7F" w:rsidRPr="00D12A5B" w:rsidRDefault="00D25E7F" w:rsidP="00D26F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8066958" w14:textId="77777777" w:rsidR="00BD3884" w:rsidRPr="00D12A5B" w:rsidRDefault="00BD3884" w:rsidP="00D26F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1904164F" w14:textId="77777777" w:rsidR="00BD3884" w:rsidRPr="00D12A5B" w:rsidRDefault="00BD3884" w:rsidP="00D26F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CD89729" w14:textId="77777777" w:rsidR="000834EA" w:rsidRPr="00D12A5B" w:rsidRDefault="00BD3884" w:rsidP="000834EA">
      <w:pPr>
        <w:pStyle w:val="a9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hAnsi="Times New Roman" w:cs="Times New Roman"/>
          <w:sz w:val="28"/>
          <w:szCs w:val="28"/>
        </w:rPr>
        <w:t xml:space="preserve">О прокуратуре Российской Федерации: </w:t>
      </w:r>
      <w:proofErr w:type="spellStart"/>
      <w:r w:rsidRPr="00D12A5B">
        <w:rPr>
          <w:rFonts w:ascii="Times New Roman" w:hAnsi="Times New Roman" w:cs="Times New Roman"/>
          <w:sz w:val="28"/>
          <w:szCs w:val="28"/>
        </w:rPr>
        <w:t>федер.закон</w:t>
      </w:r>
      <w:proofErr w:type="spellEnd"/>
      <w:r w:rsidRPr="00D12A5B">
        <w:rPr>
          <w:rFonts w:ascii="Times New Roman" w:hAnsi="Times New Roman" w:cs="Times New Roman"/>
          <w:sz w:val="28"/>
          <w:szCs w:val="28"/>
        </w:rPr>
        <w:t xml:space="preserve"> от 17.01.1992 № 2202-1 (в ред. от 30.12.2020) // Собрание законодательства РФ. – 1995. – № 47. – ст. 4472; Российская газета. – 2021. – № 2.</w:t>
      </w:r>
    </w:p>
    <w:p w14:paraId="2C2BDE28" w14:textId="77777777" w:rsidR="000834EA" w:rsidRPr="00D12A5B" w:rsidRDefault="00207D87" w:rsidP="000834EA">
      <w:pPr>
        <w:pStyle w:val="a9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hAnsi="Times New Roman" w:cs="Times New Roman"/>
          <w:sz w:val="28"/>
          <w:szCs w:val="28"/>
        </w:rPr>
        <w:lastRenderedPageBreak/>
        <w:t>Постановление Верховного Суда РФ от 21.12.2011 № 59-АД11-1</w:t>
      </w:r>
    </w:p>
    <w:p w14:paraId="29F66B57" w14:textId="77777777" w:rsidR="000834EA" w:rsidRPr="00D12A5B" w:rsidRDefault="00207D87" w:rsidP="000834EA">
      <w:pPr>
        <w:pStyle w:val="a9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hAnsi="Times New Roman" w:cs="Times New Roman"/>
          <w:sz w:val="28"/>
          <w:szCs w:val="28"/>
        </w:rPr>
        <w:t>Средства прокурорской деятельности: проблемы теории и практики: монография / О.Н. Коршунова, В.В. Лавров, Е.Л. Никитин и др. Москва: РУСАЙНС. – 2019. – 268 с.</w:t>
      </w:r>
    </w:p>
    <w:p w14:paraId="6D80B508" w14:textId="77777777" w:rsidR="000834EA" w:rsidRPr="00D12A5B" w:rsidRDefault="000834EA" w:rsidP="000834EA">
      <w:pPr>
        <w:pStyle w:val="a9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A5B">
        <w:rPr>
          <w:rFonts w:ascii="Times New Roman" w:hAnsi="Times New Roman" w:cs="Times New Roman"/>
          <w:sz w:val="28"/>
          <w:szCs w:val="28"/>
        </w:rPr>
        <w:t xml:space="preserve">Бондаренко В.А., Ершова В.А. </w:t>
      </w:r>
      <w:hyperlink r:id="rId9" w:history="1">
        <w:r w:rsidRPr="00D12A5B">
          <w:rPr>
            <w:rFonts w:ascii="Times New Roman" w:hAnsi="Times New Roman" w:cs="Times New Roman"/>
            <w:sz w:val="28"/>
            <w:szCs w:val="28"/>
          </w:rPr>
          <w:t>Законность оспаривания представления прокурора</w:t>
        </w:r>
      </w:hyperlink>
      <w:r w:rsidRPr="00D12A5B">
        <w:rPr>
          <w:rFonts w:ascii="Times New Roman" w:hAnsi="Times New Roman" w:cs="Times New Roman"/>
          <w:sz w:val="28"/>
          <w:szCs w:val="28"/>
        </w:rPr>
        <w:t xml:space="preserve"> // Законность. – 2014. – № 6. – С. 9.</w:t>
      </w:r>
    </w:p>
    <w:p w14:paraId="7DADD83B" w14:textId="77777777" w:rsidR="000834EA" w:rsidRPr="00D12A5B" w:rsidRDefault="000834EA" w:rsidP="000834EA">
      <w:pPr>
        <w:pStyle w:val="a9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Ергашев</w:t>
      </w:r>
      <w:proofErr w:type="spellEnd"/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Р. Понятие и классификация правовых средств, применяемых органами прокуратуры/</w:t>
      </w:r>
      <w:hyperlink r:id="rId10" w:history="1">
        <w:r w:rsidRPr="00D12A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Е. Р. </w:t>
        </w:r>
        <w:proofErr w:type="spellStart"/>
        <w:r w:rsidRPr="00D12A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Ергашев</w:t>
        </w:r>
        <w:proofErr w:type="spellEnd"/>
      </w:hyperlink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hyperlink r:id="rId11" w:tooltip="Российский юридический журнал" w:history="1">
        <w:r w:rsidRPr="00D12A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Рос. юрид. журнал</w:t>
        </w:r>
      </w:hyperlink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2007. – № 1. – С. 116-119    </w:t>
      </w:r>
    </w:p>
    <w:p w14:paraId="114D5808" w14:textId="77777777" w:rsidR="000834EA" w:rsidRPr="00D12A5B" w:rsidRDefault="000834EA" w:rsidP="000834EA">
      <w:pPr>
        <w:pStyle w:val="a9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A5B">
        <w:rPr>
          <w:rFonts w:ascii="Times New Roman" w:hAnsi="Times New Roman" w:cs="Times New Roman"/>
          <w:sz w:val="28"/>
          <w:szCs w:val="28"/>
        </w:rPr>
        <w:t>Ергашев</w:t>
      </w:r>
      <w:proofErr w:type="spellEnd"/>
      <w:r w:rsidRPr="00D12A5B">
        <w:rPr>
          <w:rFonts w:ascii="Times New Roman" w:hAnsi="Times New Roman" w:cs="Times New Roman"/>
          <w:sz w:val="28"/>
          <w:szCs w:val="28"/>
        </w:rPr>
        <w:t xml:space="preserve"> Е.Р. </w:t>
      </w:r>
      <w:hyperlink r:id="rId12" w:history="1">
        <w:r w:rsidRPr="00D12A5B">
          <w:rPr>
            <w:rFonts w:ascii="Times New Roman" w:hAnsi="Times New Roman" w:cs="Times New Roman"/>
            <w:sz w:val="28"/>
            <w:szCs w:val="28"/>
          </w:rPr>
          <w:t>Принципы института надзора</w:t>
        </w:r>
      </w:hyperlink>
      <w:r w:rsidRPr="00D12A5B">
        <w:rPr>
          <w:rFonts w:ascii="Times New Roman" w:hAnsi="Times New Roman" w:cs="Times New Roman"/>
          <w:sz w:val="28"/>
          <w:szCs w:val="28"/>
        </w:rPr>
        <w:t xml:space="preserve"> за исполнением законов // Исполнительное право. – 2006. – № 3.</w:t>
      </w:r>
    </w:p>
    <w:p w14:paraId="5F36E37A" w14:textId="77777777" w:rsidR="000834EA" w:rsidRPr="00D12A5B" w:rsidRDefault="000834EA" w:rsidP="000834EA">
      <w:pPr>
        <w:pStyle w:val="a9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A5B">
        <w:rPr>
          <w:rFonts w:ascii="Times New Roman" w:hAnsi="Times New Roman" w:cs="Times New Roman"/>
          <w:sz w:val="28"/>
          <w:szCs w:val="28"/>
        </w:rPr>
        <w:t>Ергашев</w:t>
      </w:r>
      <w:proofErr w:type="spellEnd"/>
      <w:r w:rsidRPr="00D12A5B">
        <w:rPr>
          <w:rFonts w:ascii="Times New Roman" w:hAnsi="Times New Roman" w:cs="Times New Roman"/>
          <w:sz w:val="28"/>
          <w:szCs w:val="28"/>
        </w:rPr>
        <w:t xml:space="preserve"> Е.Р., Мирошниченко М.Н. </w:t>
      </w:r>
      <w:hyperlink r:id="rId13" w:history="1">
        <w:r w:rsidRPr="00D12A5B">
          <w:rPr>
            <w:rFonts w:ascii="Times New Roman" w:hAnsi="Times New Roman" w:cs="Times New Roman"/>
            <w:sz w:val="28"/>
            <w:szCs w:val="28"/>
          </w:rPr>
          <w:t>К вопросу о средствах</w:t>
        </w:r>
      </w:hyperlink>
      <w:r w:rsidRPr="00D12A5B">
        <w:rPr>
          <w:rFonts w:ascii="Times New Roman" w:hAnsi="Times New Roman" w:cs="Times New Roman"/>
          <w:sz w:val="28"/>
          <w:szCs w:val="28"/>
        </w:rPr>
        <w:t xml:space="preserve"> прокурорского реагирования в сфере экологического законодательства // Экологические право. 2007. – № 5. – С. 23 - 26.</w:t>
      </w:r>
    </w:p>
    <w:p w14:paraId="57C19E7A" w14:textId="77777777" w:rsidR="00D25E7F" w:rsidRPr="00D12A5B" w:rsidRDefault="00D25E7F" w:rsidP="00D26F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D25E7F" w:rsidRPr="00D12A5B" w:rsidSect="00D26F99">
      <w:pgSz w:w="11906" w:h="16838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F6AD" w14:textId="77777777" w:rsidR="00143564" w:rsidRDefault="00143564" w:rsidP="001A2683">
      <w:pPr>
        <w:spacing w:after="0" w:line="240" w:lineRule="auto"/>
      </w:pPr>
      <w:r>
        <w:separator/>
      </w:r>
    </w:p>
  </w:endnote>
  <w:endnote w:type="continuationSeparator" w:id="0">
    <w:p w14:paraId="391165BD" w14:textId="77777777" w:rsidR="00143564" w:rsidRDefault="00143564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7207" w14:textId="77777777" w:rsidR="00143564" w:rsidRDefault="00143564" w:rsidP="001A2683">
      <w:pPr>
        <w:spacing w:after="0" w:line="240" w:lineRule="auto"/>
      </w:pPr>
      <w:r>
        <w:separator/>
      </w:r>
    </w:p>
  </w:footnote>
  <w:footnote w:type="continuationSeparator" w:id="0">
    <w:p w14:paraId="0D101706" w14:textId="77777777" w:rsidR="00143564" w:rsidRDefault="00143564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E1A9B"/>
    <w:multiLevelType w:val="hybridMultilevel"/>
    <w:tmpl w:val="789C5E44"/>
    <w:lvl w:ilvl="0" w:tplc="A9C8D9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23"/>
    <w:rsid w:val="000252FC"/>
    <w:rsid w:val="00032D3F"/>
    <w:rsid w:val="0005044C"/>
    <w:rsid w:val="00053A4F"/>
    <w:rsid w:val="000834EA"/>
    <w:rsid w:val="000D5C5A"/>
    <w:rsid w:val="000F5609"/>
    <w:rsid w:val="00143564"/>
    <w:rsid w:val="001A2683"/>
    <w:rsid w:val="00207D87"/>
    <w:rsid w:val="00213C27"/>
    <w:rsid w:val="002C1A07"/>
    <w:rsid w:val="003002CC"/>
    <w:rsid w:val="00303C24"/>
    <w:rsid w:val="00316B2D"/>
    <w:rsid w:val="00343BAC"/>
    <w:rsid w:val="0038408C"/>
    <w:rsid w:val="003D673C"/>
    <w:rsid w:val="0043701A"/>
    <w:rsid w:val="004B0C9D"/>
    <w:rsid w:val="004E05FE"/>
    <w:rsid w:val="004E0F11"/>
    <w:rsid w:val="005C05C0"/>
    <w:rsid w:val="00684581"/>
    <w:rsid w:val="00686A42"/>
    <w:rsid w:val="006A3523"/>
    <w:rsid w:val="006B69D0"/>
    <w:rsid w:val="006C0663"/>
    <w:rsid w:val="006C17A9"/>
    <w:rsid w:val="006F0FE0"/>
    <w:rsid w:val="006F2233"/>
    <w:rsid w:val="006F7E66"/>
    <w:rsid w:val="00750D48"/>
    <w:rsid w:val="007D1793"/>
    <w:rsid w:val="00822A1D"/>
    <w:rsid w:val="008C3D5A"/>
    <w:rsid w:val="009457AB"/>
    <w:rsid w:val="00994A35"/>
    <w:rsid w:val="009A7DCD"/>
    <w:rsid w:val="00AF0A88"/>
    <w:rsid w:val="00B44EA5"/>
    <w:rsid w:val="00B678EF"/>
    <w:rsid w:val="00BC0409"/>
    <w:rsid w:val="00BD3884"/>
    <w:rsid w:val="00C135EC"/>
    <w:rsid w:val="00CD650A"/>
    <w:rsid w:val="00D12A5B"/>
    <w:rsid w:val="00D208C3"/>
    <w:rsid w:val="00D25E7F"/>
    <w:rsid w:val="00D26F99"/>
    <w:rsid w:val="00D3508D"/>
    <w:rsid w:val="00D4708C"/>
    <w:rsid w:val="00D5297F"/>
    <w:rsid w:val="00D6031A"/>
    <w:rsid w:val="00DC1EDA"/>
    <w:rsid w:val="00DD0150"/>
    <w:rsid w:val="00E37352"/>
    <w:rsid w:val="00E53264"/>
    <w:rsid w:val="00EA60CA"/>
    <w:rsid w:val="00F267F0"/>
    <w:rsid w:val="00F533E9"/>
    <w:rsid w:val="00F629F9"/>
    <w:rsid w:val="00FB2B20"/>
    <w:rsid w:val="00FD0016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0604"/>
  <w15:chartTrackingRefBased/>
  <w15:docId w15:val="{C14A2E44-72DA-4880-A276-9F5A2F93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E7F"/>
    <w:rPr>
      <w:b/>
      <w:bCs/>
    </w:rPr>
  </w:style>
  <w:style w:type="character" w:styleId="a5">
    <w:name w:val="Hyperlink"/>
    <w:basedOn w:val="a0"/>
    <w:uiPriority w:val="99"/>
    <w:semiHidden/>
    <w:unhideWhenUsed/>
    <w:rsid w:val="00D25E7F"/>
    <w:rPr>
      <w:color w:val="0000FF"/>
      <w:u w:val="single"/>
    </w:rPr>
  </w:style>
  <w:style w:type="paragraph" w:customStyle="1" w:styleId="ConsPlusNormal">
    <w:name w:val="ConsPlusNormal"/>
    <w:rsid w:val="005C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A268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268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2683"/>
    <w:rPr>
      <w:vertAlign w:val="superscript"/>
    </w:rPr>
  </w:style>
  <w:style w:type="paragraph" w:styleId="a9">
    <w:name w:val="List Paragraph"/>
    <w:basedOn w:val="a"/>
    <w:uiPriority w:val="34"/>
    <w:qFormat/>
    <w:rsid w:val="00BD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2A3BC78F24F2D40C5D2AD7A0D686084&amp;req=doc&amp;base=LAW&amp;n=2875&amp;REFFIELD=134&amp;REFDST=100635&amp;REFDOC=372862&amp;REFBASE=LAW&amp;stat=refcode%3D16876%3Bindex%3D408&amp;date=22.04.2021&amp;demo=2" TargetMode="External"/><Relationship Id="rId13" Type="http://schemas.openxmlformats.org/officeDocument/2006/relationships/hyperlink" Target="http://login.consultant.ru/link/?req=doc&amp;base=CJI&amp;n=25547&amp;date=02.02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CJI&amp;n=17222&amp;date=02.02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titleid=90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ibrary.ru/author_items.asp?refid=725245411&amp;fam=%D0%95%D1%80%D0%B3%D0%B0%D1%88%D0%B5%D0%B2&amp;init=%D0%95+%D0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CJI&amp;n=78456&amp;date=02.02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A202-4EE6-452C-91A2-0CB58ACD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Бурков</dc:creator>
  <cp:keywords/>
  <dc:description/>
  <cp:lastModifiedBy>Побежимов Александр</cp:lastModifiedBy>
  <cp:revision>25</cp:revision>
  <dcterms:created xsi:type="dcterms:W3CDTF">2021-04-22T13:22:00Z</dcterms:created>
  <dcterms:modified xsi:type="dcterms:W3CDTF">2021-06-08T07:35:00Z</dcterms:modified>
</cp:coreProperties>
</file>