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7D" w:rsidRPr="003D587D" w:rsidRDefault="003D587D" w:rsidP="003D58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ОПРЕДЕЛЕНИЕ ЖИЗНЕННОГО ЦИКЛА КОМПАНИИ НА ПРИМЕРЕ ПАО «РОСТЕЛЕКОМ»</w:t>
      </w:r>
    </w:p>
    <w:p w:rsidR="003D587D" w:rsidRPr="003D587D" w:rsidRDefault="003D587D" w:rsidP="003D58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А.А. Разумов </w:t>
      </w:r>
    </w:p>
    <w:p w:rsidR="003D587D" w:rsidRPr="003D587D" w:rsidRDefault="003D587D" w:rsidP="003D58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Шкиотов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С.В</w:t>
      </w: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кандидат</w:t>
      </w: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экономических наук,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доцент</w:t>
      </w:r>
    </w:p>
    <w:p w:rsidR="003D587D" w:rsidRDefault="003D587D" w:rsidP="003D587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D58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ФГБОУ ВО «Ярославский государственный технический университет»</w:t>
      </w:r>
    </w:p>
    <w:p w:rsidR="003D587D" w:rsidRDefault="003D587D" w:rsidP="003D587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D587D" w:rsidRPr="008A724D" w:rsidRDefault="003D587D" w:rsidP="003D587D">
      <w:p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Pr="00D23895">
        <w:rPr>
          <w:bCs/>
          <w:sz w:val="28"/>
          <w:szCs w:val="28"/>
        </w:rPr>
        <w:t xml:space="preserve">В литературе существуют различные подходы к определению количества этапов жизненного цикла организации и различные точки зрения на соответствующие этим этапам стратегии поведения, что объясняется прежде </w:t>
      </w:r>
      <w:r>
        <w:rPr>
          <w:bCs/>
          <w:sz w:val="28"/>
          <w:szCs w:val="28"/>
        </w:rPr>
        <w:t>всего, объектами исследований</w:t>
      </w:r>
      <w:r w:rsidRPr="00D23895">
        <w:rPr>
          <w:bCs/>
          <w:sz w:val="28"/>
          <w:szCs w:val="28"/>
        </w:rPr>
        <w:t>. Они достаточно подробно рассмотрены авторами моделей и их критиками, поэтому не будем вдаваться в детали, отметим лишь, что периодичность и частота появления исследований, предлагающих подходы, алгоритмы и методы выявления этапа жизн</w:t>
      </w:r>
      <w:r>
        <w:rPr>
          <w:bCs/>
          <w:sz w:val="28"/>
          <w:szCs w:val="28"/>
        </w:rPr>
        <w:t>енного цикла, значительно реже.</w:t>
      </w:r>
      <w:r w:rsidR="008A724D" w:rsidRPr="008A724D">
        <w:rPr>
          <w:bCs/>
          <w:sz w:val="28"/>
          <w:szCs w:val="28"/>
        </w:rPr>
        <w:t xml:space="preserve"> [</w:t>
      </w:r>
      <w:r w:rsidR="008A724D">
        <w:rPr>
          <w:bCs/>
          <w:sz w:val="28"/>
          <w:szCs w:val="28"/>
          <w:lang w:val="en-US"/>
        </w:rPr>
        <w:t>1]</w:t>
      </w:r>
      <w:bookmarkStart w:id="0" w:name="_GoBack"/>
      <w:bookmarkEnd w:id="0"/>
    </w:p>
    <w:p w:rsidR="003D587D" w:rsidRPr="008A724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23895">
        <w:rPr>
          <w:bCs/>
          <w:sz w:val="28"/>
          <w:szCs w:val="28"/>
        </w:rPr>
        <w:t xml:space="preserve">Первым научным трудом, который затрагивал проблемы перехода с одной стадии ЖЦО на другую, стала книга Дж. Энтони и К. </w:t>
      </w:r>
      <w:proofErr w:type="spellStart"/>
      <w:r w:rsidRPr="00D23895">
        <w:rPr>
          <w:bCs/>
          <w:sz w:val="28"/>
          <w:szCs w:val="28"/>
        </w:rPr>
        <w:t>Рамеша</w:t>
      </w:r>
      <w:proofErr w:type="spellEnd"/>
      <w:r w:rsidRPr="00D23895">
        <w:rPr>
          <w:bCs/>
          <w:sz w:val="28"/>
          <w:szCs w:val="28"/>
        </w:rPr>
        <w:t xml:space="preserve"> «Связь между данными бухгалтерской отчетности и стоимостью акций: тестирование гипотез жизненного цикла компаний», вышедшая в 1992 г. В рамках исследования авторы выделили четыре основополагающих фактора: рост выручки, изменения в капитальных затратах (CAPEX), годовой уровень выплаты дивидендов и возраст компании. Таким образом, авторы пришли к выводам, что на стадии роста дивидендные выплаты находятся на низком уровне, а отношение капитальных расходов к рыночной стоимости долгосрочного долга, наоборот, на высоком, как и показатели роста продаж. В период зрелости все рассмотренные показатели достигают средних значений. Этап спада характерен преимущественно для старых компаний, когда рост продаж достигает своего минимума, а дивидендные выплаты, наоборот, стремятся к максимальному значению отно</w:t>
      </w:r>
      <w:r>
        <w:rPr>
          <w:bCs/>
          <w:sz w:val="28"/>
          <w:szCs w:val="28"/>
        </w:rPr>
        <w:t>сительно предыдущих этапов ЖЦО.</w:t>
      </w:r>
      <w:r w:rsidR="008A724D" w:rsidRPr="008A724D">
        <w:rPr>
          <w:bCs/>
          <w:sz w:val="28"/>
          <w:szCs w:val="28"/>
        </w:rPr>
        <w:t xml:space="preserve"> </w:t>
      </w:r>
      <w:r w:rsidR="008A724D">
        <w:rPr>
          <w:bCs/>
          <w:sz w:val="28"/>
          <w:szCs w:val="28"/>
        </w:rPr>
        <w:t>[</w:t>
      </w:r>
      <w:r w:rsidR="008A724D" w:rsidRPr="008A724D">
        <w:rPr>
          <w:bCs/>
          <w:sz w:val="28"/>
          <w:szCs w:val="28"/>
        </w:rPr>
        <w:t>3]</w:t>
      </w: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23895">
        <w:rPr>
          <w:bCs/>
          <w:sz w:val="28"/>
          <w:szCs w:val="28"/>
        </w:rPr>
        <w:t xml:space="preserve">Отметим, что Энтони и </w:t>
      </w:r>
      <w:proofErr w:type="spellStart"/>
      <w:r w:rsidRPr="00D23895">
        <w:rPr>
          <w:bCs/>
          <w:sz w:val="28"/>
          <w:szCs w:val="28"/>
        </w:rPr>
        <w:t>Рамеш</w:t>
      </w:r>
      <w:proofErr w:type="spellEnd"/>
      <w:r w:rsidRPr="00D23895">
        <w:rPr>
          <w:bCs/>
          <w:sz w:val="28"/>
          <w:szCs w:val="28"/>
        </w:rPr>
        <w:t xml:space="preserve"> не уделяют внимание направлению движения потока денежных средств, что в дальнейшем находит отражение прак</w:t>
      </w:r>
      <w:r>
        <w:rPr>
          <w:bCs/>
          <w:sz w:val="28"/>
          <w:szCs w:val="28"/>
        </w:rPr>
        <w:t>тически во всех научных трудах.</w:t>
      </w:r>
    </w:p>
    <w:p w:rsidR="003D587D" w:rsidRPr="008A724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23895">
        <w:rPr>
          <w:bCs/>
          <w:sz w:val="28"/>
          <w:szCs w:val="28"/>
        </w:rPr>
        <w:t xml:space="preserve">Также при рассмотрении финансовых показателей на разных этапах ЖЦО особое внимание следует уделить работе Виктории </w:t>
      </w:r>
      <w:proofErr w:type="spellStart"/>
      <w:r w:rsidRPr="00D23895">
        <w:rPr>
          <w:bCs/>
          <w:sz w:val="28"/>
          <w:szCs w:val="28"/>
        </w:rPr>
        <w:t>Дикинсон</w:t>
      </w:r>
      <w:proofErr w:type="spellEnd"/>
      <w:r w:rsidRPr="00D23895">
        <w:rPr>
          <w:bCs/>
          <w:sz w:val="28"/>
          <w:szCs w:val="28"/>
        </w:rPr>
        <w:t>, имеющей название «Денежный поток как показатель жизненного цикла компании». Исходя из этого, мы видим, что основополагающим критерием идентификации этапа цикла является напр</w:t>
      </w:r>
      <w:r>
        <w:rPr>
          <w:bCs/>
          <w:sz w:val="28"/>
          <w:szCs w:val="28"/>
        </w:rPr>
        <w:t>авление денежных потоков фирмы.</w:t>
      </w:r>
    </w:p>
    <w:p w:rsidR="003D587D" w:rsidRPr="008A724D" w:rsidRDefault="003D587D" w:rsidP="003D587D">
      <w:p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  <w:r w:rsidRPr="00D23895">
        <w:rPr>
          <w:bCs/>
          <w:sz w:val="28"/>
          <w:szCs w:val="28"/>
        </w:rPr>
        <w:t xml:space="preserve">Ключевую роль в данной концепции занимают и источники финансирования. На первоначальной стадии привлечение средств для осуществления деятельности фирмы происходит преимущественно с помощью средств собственников (взносы учредителей в уставный капитал), </w:t>
      </w:r>
      <w:r w:rsidRPr="00D23895">
        <w:rPr>
          <w:bCs/>
          <w:sz w:val="28"/>
          <w:szCs w:val="28"/>
        </w:rPr>
        <w:lastRenderedPageBreak/>
        <w:t>прибыли компании. Так будет продолжаться до того момента, пока предприятие не начнет генерировать денежный поток от операционной деятельности. В период роста фирма формирует свою кредитную история для снижения в дальнейшем процентных ставок, регулирования объема кредитования, изменения сроков кредитования и т.д. Этап зрелости позволяет компании пойти дальше в использовании новых финансовых инструментов: облигационные займы, еврооблигации, которые способствуют формированию публичной кредитной истории и росту репутации компании, а также к снижению стоимости заемных средств. Стоит отметить, что именно на этом этапе становится наиболее благоприятным выход на IPO. На стадии спада вновь компании приходится использовать собственные средства учредителей, т.к. у инвесторов пропадает желание вкладывать денежные средства в угасающий бизнес.</w:t>
      </w:r>
      <w:r w:rsidR="008A724D" w:rsidRPr="008A724D">
        <w:rPr>
          <w:bCs/>
          <w:sz w:val="28"/>
          <w:szCs w:val="28"/>
        </w:rPr>
        <w:t xml:space="preserve"> [</w:t>
      </w:r>
      <w:r w:rsidR="008A724D">
        <w:rPr>
          <w:bCs/>
          <w:sz w:val="28"/>
          <w:szCs w:val="28"/>
        </w:rPr>
        <w:t>2</w:t>
      </w:r>
      <w:r w:rsidR="008A724D">
        <w:rPr>
          <w:bCs/>
          <w:sz w:val="28"/>
          <w:szCs w:val="28"/>
          <w:lang w:val="en-US"/>
        </w:rPr>
        <w:t>]</w:t>
      </w: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 рисунке 1 представлен алгоритм определения стадии жизненного цикла по методике В. </w:t>
      </w:r>
      <w:proofErr w:type="spellStart"/>
      <w:r>
        <w:rPr>
          <w:bCs/>
          <w:sz w:val="28"/>
          <w:szCs w:val="28"/>
        </w:rPr>
        <w:t>Дикинсон</w:t>
      </w:r>
      <w:proofErr w:type="spellEnd"/>
      <w:r>
        <w:rPr>
          <w:bCs/>
          <w:sz w:val="28"/>
          <w:szCs w:val="28"/>
        </w:rPr>
        <w:t xml:space="preserve"> </w:t>
      </w: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8F1B1" wp14:editId="1D5CDD08">
            <wp:extent cx="5705475" cy="3076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87D" w:rsidRDefault="003D587D" w:rsidP="003D587D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Рис. 1 - </w:t>
      </w:r>
      <w:r w:rsidRPr="00C96488">
        <w:rPr>
          <w:bCs/>
          <w:sz w:val="28"/>
          <w:szCs w:val="28"/>
        </w:rPr>
        <w:t xml:space="preserve">Алгоритм определения стадии жизненного цикла по методики В. </w:t>
      </w:r>
      <w:proofErr w:type="spellStart"/>
      <w:r w:rsidRPr="00C96488">
        <w:rPr>
          <w:bCs/>
          <w:sz w:val="28"/>
          <w:szCs w:val="28"/>
        </w:rPr>
        <w:t>Дикинсон</w:t>
      </w:r>
      <w:proofErr w:type="spellEnd"/>
      <w:r>
        <w:rPr>
          <w:bCs/>
          <w:sz w:val="28"/>
          <w:szCs w:val="28"/>
        </w:rPr>
        <w:t>.</w:t>
      </w:r>
    </w:p>
    <w:p w:rsidR="003D587D" w:rsidRDefault="003D587D" w:rsidP="003D587D">
      <w:pPr>
        <w:spacing w:after="0" w:line="240" w:lineRule="auto"/>
        <w:jc w:val="center"/>
        <w:rPr>
          <w:bCs/>
          <w:sz w:val="28"/>
          <w:szCs w:val="28"/>
        </w:rPr>
      </w:pP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таблице </w:t>
      </w:r>
      <w:r w:rsidR="001F0FD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(концепция Виктории </w:t>
      </w:r>
      <w:proofErr w:type="spellStart"/>
      <w:r>
        <w:rPr>
          <w:bCs/>
          <w:sz w:val="28"/>
          <w:szCs w:val="28"/>
        </w:rPr>
        <w:t>Дикинсон</w:t>
      </w:r>
      <w:proofErr w:type="spellEnd"/>
      <w:r>
        <w:rPr>
          <w:bCs/>
          <w:sz w:val="28"/>
          <w:szCs w:val="28"/>
        </w:rPr>
        <w:t>)</w:t>
      </w:r>
      <w:r w:rsidRPr="00432C94">
        <w:rPr>
          <w:bCs/>
          <w:sz w:val="28"/>
          <w:szCs w:val="28"/>
        </w:rPr>
        <w:t xml:space="preserve"> представлены показатели отчетности компании, которые показывают, что в течение </w:t>
      </w:r>
      <w:r>
        <w:rPr>
          <w:bCs/>
          <w:sz w:val="28"/>
          <w:szCs w:val="28"/>
        </w:rPr>
        <w:t xml:space="preserve">3 </w:t>
      </w:r>
      <w:r w:rsidRPr="00432C94">
        <w:rPr>
          <w:bCs/>
          <w:sz w:val="28"/>
          <w:szCs w:val="28"/>
        </w:rPr>
        <w:t>лет (с 201</w:t>
      </w:r>
      <w:r>
        <w:rPr>
          <w:bCs/>
          <w:sz w:val="28"/>
          <w:szCs w:val="28"/>
        </w:rPr>
        <w:t>8</w:t>
      </w:r>
      <w:r w:rsidRPr="00432C94">
        <w:rPr>
          <w:bCs/>
          <w:sz w:val="28"/>
          <w:szCs w:val="28"/>
        </w:rPr>
        <w:t>г. по 20</w:t>
      </w:r>
      <w:r>
        <w:rPr>
          <w:bCs/>
          <w:sz w:val="28"/>
          <w:szCs w:val="28"/>
        </w:rPr>
        <w:t>20</w:t>
      </w:r>
      <w:r w:rsidRPr="00432C94">
        <w:rPr>
          <w:bCs/>
          <w:sz w:val="28"/>
          <w:szCs w:val="28"/>
        </w:rPr>
        <w:t xml:space="preserve">г.) </w:t>
      </w:r>
      <w:r>
        <w:rPr>
          <w:bCs/>
          <w:sz w:val="28"/>
          <w:szCs w:val="28"/>
        </w:rPr>
        <w:t>публичное акционерное общество</w:t>
      </w:r>
      <w:r w:rsidRPr="00432C9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Ростелеком</w:t>
      </w:r>
      <w:r w:rsidRPr="00432C94">
        <w:rPr>
          <w:bCs/>
          <w:sz w:val="28"/>
          <w:szCs w:val="28"/>
        </w:rPr>
        <w:t>» имел</w:t>
      </w:r>
      <w:r>
        <w:rPr>
          <w:bCs/>
          <w:sz w:val="28"/>
          <w:szCs w:val="28"/>
        </w:rPr>
        <w:t>о</w:t>
      </w:r>
      <w:r w:rsidRPr="00432C94">
        <w:rPr>
          <w:bCs/>
          <w:sz w:val="28"/>
          <w:szCs w:val="28"/>
        </w:rPr>
        <w:t xml:space="preserve"> </w:t>
      </w:r>
      <w:r w:rsidRPr="006A187A">
        <w:rPr>
          <w:bCs/>
          <w:sz w:val="28"/>
          <w:szCs w:val="28"/>
        </w:rPr>
        <w:t>положительное направление операционного потока. Это говорит о том, что для данного холдинга может быть характерен только один из двух этапов жизненного цикла: этап роста или зрелости. При этом отметим, что выручка компаний имеет тенденцию к увеличению, а чистая прибыль</w:t>
      </w:r>
      <w:r>
        <w:rPr>
          <w:bCs/>
          <w:sz w:val="28"/>
          <w:szCs w:val="28"/>
        </w:rPr>
        <w:t xml:space="preserve"> также </w:t>
      </w:r>
      <w:r w:rsidRPr="006A187A">
        <w:rPr>
          <w:bCs/>
          <w:sz w:val="28"/>
          <w:szCs w:val="28"/>
        </w:rPr>
        <w:t>имеет тенденцию к увеличению</w:t>
      </w:r>
      <w:r>
        <w:rPr>
          <w:bCs/>
          <w:sz w:val="28"/>
          <w:szCs w:val="28"/>
        </w:rPr>
        <w:t>.</w:t>
      </w: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</w:p>
    <w:p w:rsidR="003D587D" w:rsidRPr="00C96488" w:rsidRDefault="003D587D" w:rsidP="003D587D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Таблица </w:t>
      </w:r>
      <w:r w:rsidR="001F0FD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Определение стадии ЖЦО ПАО «Ростелеком» (концепция Виктории </w:t>
      </w:r>
      <w:proofErr w:type="spellStart"/>
      <w:r>
        <w:rPr>
          <w:bCs/>
          <w:sz w:val="28"/>
          <w:szCs w:val="28"/>
        </w:rPr>
        <w:t>Дикинсон</w:t>
      </w:r>
      <w:proofErr w:type="spellEnd"/>
      <w:r>
        <w:rPr>
          <w:bCs/>
          <w:sz w:val="28"/>
          <w:szCs w:val="28"/>
        </w:rPr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Показатель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2018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2019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2020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Операционный поток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proofErr w:type="spellStart"/>
            <w:r w:rsidRPr="009555C5">
              <w:rPr>
                <w:sz w:val="28"/>
              </w:rPr>
              <w:t>Инвестиционый</w:t>
            </w:r>
            <w:proofErr w:type="spellEnd"/>
          </w:p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поток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Финансовый поток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Выручка, млрд. руб.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320,2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475,8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546,9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выручки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5%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48%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15%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 xml:space="preserve">Чистая прибыль, млрд. руб. 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15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21,9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25,3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прибыли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7%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47%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16%</w:t>
            </w:r>
          </w:p>
        </w:tc>
      </w:tr>
    </w:tbl>
    <w:p w:rsidR="003D587D" w:rsidRDefault="003D587D" w:rsidP="003D587D">
      <w:pPr>
        <w:spacing w:after="0" w:line="240" w:lineRule="auto"/>
        <w:jc w:val="both"/>
        <w:rPr>
          <w:sz w:val="28"/>
          <w:szCs w:val="28"/>
        </w:rPr>
      </w:pPr>
    </w:p>
    <w:p w:rsidR="003D587D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Также для определения стадии жизненного цикла компании воспользуемся методом </w:t>
      </w:r>
      <w:r w:rsidRPr="00F57BEB">
        <w:rPr>
          <w:bCs/>
          <w:sz w:val="28"/>
          <w:szCs w:val="28"/>
        </w:rPr>
        <w:t xml:space="preserve">Дж. Антони и К. </w:t>
      </w:r>
      <w:proofErr w:type="spellStart"/>
      <w:r w:rsidRPr="00F57BEB">
        <w:rPr>
          <w:bCs/>
          <w:sz w:val="28"/>
          <w:szCs w:val="28"/>
        </w:rPr>
        <w:t>Рамеш</w:t>
      </w:r>
      <w:proofErr w:type="spellEnd"/>
      <w:r>
        <w:rPr>
          <w:bCs/>
          <w:sz w:val="28"/>
          <w:szCs w:val="28"/>
        </w:rPr>
        <w:t xml:space="preserve">. </w:t>
      </w:r>
    </w:p>
    <w:p w:rsidR="003D587D" w:rsidRPr="00C96488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</w:p>
    <w:p w:rsidR="003D587D" w:rsidRDefault="003D587D" w:rsidP="003D5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Таблица </w:t>
      </w:r>
      <w:r w:rsidR="001F0FD9">
        <w:rPr>
          <w:sz w:val="28"/>
          <w:szCs w:val="28"/>
        </w:rPr>
        <w:t>2</w:t>
      </w:r>
      <w:r>
        <w:rPr>
          <w:sz w:val="28"/>
          <w:szCs w:val="28"/>
        </w:rPr>
        <w:t xml:space="preserve"> – Определение стадии ЖЦО ПАО «Ростелеком»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2018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center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2019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center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2020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Доля чистой прибыли, направляемой на дивиденды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4,5%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9,2%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 xml:space="preserve">3,64% 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Темп роста выручки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5%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5%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15%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Доля капитальных расходов в стоимости компании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 xml:space="preserve">71 787 млн. </w:t>
            </w:r>
            <w:proofErr w:type="spellStart"/>
            <w:r w:rsidRPr="009555C5">
              <w:rPr>
                <w:sz w:val="28"/>
                <w:szCs w:val="28"/>
              </w:rPr>
              <w:t>руб</w:t>
            </w:r>
            <w:proofErr w:type="spellEnd"/>
            <w:r w:rsidRPr="00955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 xml:space="preserve">105 657 млн. </w:t>
            </w:r>
            <w:proofErr w:type="spellStart"/>
            <w:r w:rsidRPr="009555C5">
              <w:rPr>
                <w:sz w:val="28"/>
                <w:szCs w:val="28"/>
              </w:rPr>
              <w:t>руб</w:t>
            </w:r>
            <w:proofErr w:type="spellEnd"/>
            <w:r w:rsidRPr="00955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107 138 млн. руб.</w:t>
            </w:r>
          </w:p>
        </w:tc>
      </w:tr>
      <w:tr w:rsidR="003D587D" w:rsidTr="00D25E31">
        <w:tc>
          <w:tcPr>
            <w:tcW w:w="2336" w:type="dxa"/>
          </w:tcPr>
          <w:p w:rsidR="003D587D" w:rsidRPr="009555C5" w:rsidRDefault="003D587D" w:rsidP="003D587D">
            <w:pPr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Возраст фирмы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3D587D" w:rsidRPr="009555C5" w:rsidRDefault="003D587D" w:rsidP="003D587D">
            <w:pPr>
              <w:jc w:val="both"/>
              <w:rPr>
                <w:sz w:val="28"/>
                <w:szCs w:val="28"/>
              </w:rPr>
            </w:pPr>
            <w:r w:rsidRPr="009555C5">
              <w:rPr>
                <w:sz w:val="28"/>
                <w:szCs w:val="28"/>
              </w:rPr>
              <w:t>26</w:t>
            </w:r>
          </w:p>
        </w:tc>
      </w:tr>
    </w:tbl>
    <w:p w:rsidR="003D587D" w:rsidRDefault="003D587D" w:rsidP="003D587D">
      <w:pPr>
        <w:spacing w:after="0" w:line="240" w:lineRule="auto"/>
        <w:rPr>
          <w:sz w:val="28"/>
          <w:szCs w:val="28"/>
        </w:rPr>
      </w:pPr>
    </w:p>
    <w:p w:rsidR="003D587D" w:rsidRDefault="003D587D" w:rsidP="003D58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заполнения таблицы воспользуемся данными годового отчета компании, а именно ключевыми </w:t>
      </w:r>
      <w:r w:rsidR="001F0FD9">
        <w:rPr>
          <w:sz w:val="28"/>
          <w:szCs w:val="28"/>
        </w:rPr>
        <w:t>показателями.</w:t>
      </w:r>
    </w:p>
    <w:p w:rsidR="003D587D" w:rsidRPr="00C96488" w:rsidRDefault="003D587D" w:rsidP="003D587D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таблице </w:t>
      </w:r>
      <w:r w:rsidR="001F0F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(концепция </w:t>
      </w:r>
      <w:r>
        <w:rPr>
          <w:sz w:val="28"/>
          <w:szCs w:val="28"/>
        </w:rPr>
        <w:t xml:space="preserve">метод </w:t>
      </w:r>
      <w:r w:rsidRPr="00F57BEB">
        <w:rPr>
          <w:bCs/>
          <w:sz w:val="28"/>
          <w:szCs w:val="28"/>
        </w:rPr>
        <w:t xml:space="preserve">Дж. Антони и К. </w:t>
      </w:r>
      <w:proofErr w:type="spellStart"/>
      <w:r w:rsidRPr="00F57BEB">
        <w:rPr>
          <w:bCs/>
          <w:sz w:val="28"/>
          <w:szCs w:val="28"/>
        </w:rPr>
        <w:t>Рамеш</w:t>
      </w:r>
      <w:proofErr w:type="spellEnd"/>
      <w:r>
        <w:rPr>
          <w:bCs/>
          <w:sz w:val="28"/>
          <w:szCs w:val="28"/>
        </w:rPr>
        <w:t>)</w:t>
      </w:r>
      <w:r w:rsidRPr="00432C94">
        <w:rPr>
          <w:bCs/>
          <w:sz w:val="28"/>
          <w:szCs w:val="28"/>
        </w:rPr>
        <w:t xml:space="preserve"> представлены </w:t>
      </w:r>
      <w:r>
        <w:rPr>
          <w:bCs/>
          <w:sz w:val="28"/>
          <w:szCs w:val="28"/>
        </w:rPr>
        <w:t>данные</w:t>
      </w:r>
      <w:r w:rsidRPr="00432C94">
        <w:rPr>
          <w:bCs/>
          <w:sz w:val="28"/>
          <w:szCs w:val="28"/>
        </w:rPr>
        <w:t xml:space="preserve"> компании, которые показывают, что в течение </w:t>
      </w:r>
      <w:r>
        <w:rPr>
          <w:bCs/>
          <w:sz w:val="28"/>
          <w:szCs w:val="28"/>
        </w:rPr>
        <w:t xml:space="preserve">3 </w:t>
      </w:r>
      <w:r w:rsidRPr="00432C94">
        <w:rPr>
          <w:bCs/>
          <w:sz w:val="28"/>
          <w:szCs w:val="28"/>
        </w:rPr>
        <w:t>лет (с 201</w:t>
      </w:r>
      <w:r>
        <w:rPr>
          <w:bCs/>
          <w:sz w:val="28"/>
          <w:szCs w:val="28"/>
        </w:rPr>
        <w:t>8</w:t>
      </w:r>
      <w:r w:rsidRPr="00432C94">
        <w:rPr>
          <w:bCs/>
          <w:sz w:val="28"/>
          <w:szCs w:val="28"/>
        </w:rPr>
        <w:t>г. по 20</w:t>
      </w:r>
      <w:r>
        <w:rPr>
          <w:bCs/>
          <w:sz w:val="28"/>
          <w:szCs w:val="28"/>
        </w:rPr>
        <w:t>20</w:t>
      </w:r>
      <w:r w:rsidRPr="00432C94">
        <w:rPr>
          <w:bCs/>
          <w:sz w:val="28"/>
          <w:szCs w:val="28"/>
        </w:rPr>
        <w:t xml:space="preserve">г.) </w:t>
      </w:r>
      <w:r>
        <w:rPr>
          <w:bCs/>
          <w:sz w:val="28"/>
          <w:szCs w:val="28"/>
        </w:rPr>
        <w:t>публичное акционерное общество</w:t>
      </w:r>
      <w:r w:rsidRPr="00432C94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Ростелеком</w:t>
      </w:r>
      <w:r w:rsidRPr="00432C94">
        <w:rPr>
          <w:bCs/>
          <w:sz w:val="28"/>
          <w:szCs w:val="28"/>
        </w:rPr>
        <w:t>» имел</w:t>
      </w:r>
      <w:r>
        <w:rPr>
          <w:bCs/>
          <w:sz w:val="28"/>
          <w:szCs w:val="28"/>
        </w:rPr>
        <w:t xml:space="preserve">о рост в направлении </w:t>
      </w:r>
      <w:r>
        <w:rPr>
          <w:bCs/>
          <w:sz w:val="28"/>
          <w:szCs w:val="28"/>
          <w:lang w:val="en-US"/>
        </w:rPr>
        <w:t>CAPEX</w:t>
      </w:r>
      <w:r w:rsidRPr="008C3F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(доля капитальных расходов), а также хороший скачок темпа роста выручки. Относительно доли чистой прибыли на дивиденды компании придерживалась своей дивидендной политики. </w:t>
      </w:r>
      <w:r w:rsidRPr="008C3F22">
        <w:rPr>
          <w:bCs/>
          <w:sz w:val="28"/>
          <w:szCs w:val="28"/>
        </w:rPr>
        <w:t xml:space="preserve">26 апреля 2019 года совет </w:t>
      </w:r>
      <w:r w:rsidRPr="008C3F22">
        <w:rPr>
          <w:bCs/>
          <w:sz w:val="28"/>
          <w:szCs w:val="28"/>
        </w:rPr>
        <w:lastRenderedPageBreak/>
        <w:t>директоров ПАО «Ростелеком» утвердил редакцию №1 дивидендной политики компании за 2018–2020 отчетные годы.</w:t>
      </w:r>
      <w:r>
        <w:rPr>
          <w:bCs/>
          <w:sz w:val="28"/>
          <w:szCs w:val="28"/>
        </w:rPr>
        <w:t xml:space="preserve"> Возраст компании на текущий момент составляет 27 лет. </w:t>
      </w:r>
    </w:p>
    <w:p w:rsidR="003D587D" w:rsidRPr="003D587D" w:rsidRDefault="003D587D" w:rsidP="003D58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Данные, полученные в таблицах </w:t>
      </w:r>
      <w:r w:rsidR="001F0FD9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="001F0FD9">
        <w:rPr>
          <w:sz w:val="28"/>
          <w:szCs w:val="28"/>
        </w:rPr>
        <w:t>2</w:t>
      </w:r>
      <w:r>
        <w:rPr>
          <w:sz w:val="28"/>
          <w:szCs w:val="28"/>
        </w:rPr>
        <w:t xml:space="preserve"> говорят о том, что ПАО «Ростелеком» сейчас находится в стадии зрелости, но динамика показывает, что компания на целена на разворот в стадию роста.</w:t>
      </w:r>
    </w:p>
    <w:p w:rsidR="00377B85" w:rsidRDefault="00377B85"/>
    <w:p w:rsidR="001F0FD9" w:rsidRPr="001F0FD9" w:rsidRDefault="001F0FD9" w:rsidP="001F0FD9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1F0FD9">
        <w:rPr>
          <w:rFonts w:ascii="Times New Roman" w:eastAsia="Times New Roman" w:hAnsi="Times New Roman"/>
          <w:b/>
          <w:sz w:val="28"/>
          <w:szCs w:val="32"/>
          <w:lang w:eastAsia="ru-RU"/>
        </w:rPr>
        <w:t>Библиографический список:</w:t>
      </w:r>
    </w:p>
    <w:p w:rsidR="001F0FD9" w:rsidRPr="001F0FD9" w:rsidRDefault="001F0FD9" w:rsidP="001F0FD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32"/>
          <w:lang w:eastAsia="ru-RU"/>
        </w:rPr>
        <w:t>Адизес</w:t>
      </w:r>
      <w:proofErr w:type="spellEnd"/>
      <w:r>
        <w:rPr>
          <w:rFonts w:ascii="Times New Roman" w:eastAsia="Times New Roman" w:hAnsi="Times New Roman"/>
          <w:sz w:val="28"/>
          <w:szCs w:val="32"/>
          <w:lang w:eastAsia="ru-RU"/>
        </w:rPr>
        <w:t xml:space="preserve"> И., </w:t>
      </w:r>
      <w:r w:rsidRPr="001F0FD9">
        <w:rPr>
          <w:rFonts w:ascii="Times New Roman" w:eastAsia="Times New Roman" w:hAnsi="Times New Roman"/>
          <w:sz w:val="28"/>
          <w:szCs w:val="32"/>
          <w:lang w:eastAsia="ru-RU"/>
        </w:rPr>
        <w:t>Управление жизненным циклом корпорации</w:t>
      </w:r>
      <w:r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1F0FD9">
        <w:rPr>
          <w:rFonts w:ascii="Times New Roman" w:eastAsia="Times New Roman" w:hAnsi="Times New Roman"/>
          <w:sz w:val="28"/>
          <w:szCs w:val="32"/>
          <w:lang w:eastAsia="ru-RU"/>
        </w:rPr>
        <w:t xml:space="preserve">// </w:t>
      </w:r>
      <w:r>
        <w:rPr>
          <w:rFonts w:ascii="Times New Roman" w:eastAsia="Times New Roman" w:hAnsi="Times New Roman"/>
          <w:sz w:val="28"/>
          <w:szCs w:val="32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/>
          <w:sz w:val="28"/>
          <w:szCs w:val="32"/>
          <w:lang w:eastAsia="ru-RU"/>
        </w:rPr>
        <w:t>Адизес</w:t>
      </w:r>
      <w:proofErr w:type="spellEnd"/>
      <w:r w:rsidRPr="001F0FD9">
        <w:rPr>
          <w:rFonts w:ascii="Times New Roman" w:eastAsia="Times New Roman" w:hAnsi="Times New Roman"/>
          <w:sz w:val="28"/>
          <w:szCs w:val="32"/>
          <w:lang w:eastAsia="ru-RU"/>
        </w:rPr>
        <w:t xml:space="preserve">. </w:t>
      </w:r>
      <w:r w:rsidRPr="001F0FD9">
        <w:rPr>
          <w:rFonts w:ascii="Times New Roman" w:eastAsia="Times New Roman" w:hAnsi="Times New Roman"/>
          <w:bCs/>
          <w:sz w:val="28"/>
          <w:szCs w:val="32"/>
          <w:lang w:eastAsia="ru-RU"/>
        </w:rPr>
        <w:t>2014</w:t>
      </w:r>
      <w:r w:rsidRPr="001F0FD9">
        <w:rPr>
          <w:rFonts w:ascii="Times New Roman" w:eastAsia="Times New Roman" w:hAnsi="Times New Roman"/>
          <w:sz w:val="28"/>
          <w:szCs w:val="32"/>
          <w:lang w:eastAsia="ru-RU"/>
        </w:rPr>
        <w:t>. — 384 c.</w:t>
      </w:r>
    </w:p>
    <w:p w:rsidR="008A724D" w:rsidRDefault="008A724D" w:rsidP="001F0FD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8A724D">
        <w:rPr>
          <w:rFonts w:ascii="Times New Roman" w:eastAsia="Times New Roman" w:hAnsi="Times New Roman"/>
          <w:sz w:val="28"/>
          <w:szCs w:val="32"/>
          <w:lang w:val="en-US" w:eastAsia="ru-RU"/>
        </w:rPr>
        <w:t xml:space="preserve">Dickinson V. Cash flow as proxy for firm life cycle. PhD; </w:t>
      </w:r>
      <w:proofErr w:type="gramStart"/>
      <w:r w:rsidRPr="008A724D">
        <w:rPr>
          <w:rFonts w:ascii="Times New Roman" w:eastAsia="Times New Roman" w:hAnsi="Times New Roman"/>
          <w:sz w:val="28"/>
          <w:szCs w:val="32"/>
          <w:lang w:val="en-US" w:eastAsia="ru-RU"/>
        </w:rPr>
        <w:t>CPA :</w:t>
      </w:r>
      <w:proofErr w:type="gramEnd"/>
      <w:r w:rsidRPr="008A724D">
        <w:rPr>
          <w:rFonts w:ascii="Times New Roman" w:eastAsia="Times New Roman" w:hAnsi="Times New Roman"/>
          <w:sz w:val="28"/>
          <w:szCs w:val="32"/>
          <w:lang w:val="en-US" w:eastAsia="ru-RU"/>
        </w:rPr>
        <w:t xml:space="preserve"> Fisher school of accounting Warrington; College of Business; University of Florida, 2007. </w:t>
      </w:r>
      <w:proofErr w:type="spellStart"/>
      <w:r>
        <w:rPr>
          <w:rFonts w:ascii="Times New Roman" w:eastAsia="Times New Roman" w:hAnsi="Times New Roman"/>
          <w:sz w:val="28"/>
          <w:szCs w:val="32"/>
          <w:lang w:eastAsia="ru-RU"/>
        </w:rPr>
        <w:t>Pp</w:t>
      </w:r>
      <w:proofErr w:type="spellEnd"/>
      <w:r w:rsidRPr="008A724D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1F0FD9" w:rsidRPr="006214A2" w:rsidRDefault="006214A2" w:rsidP="001F0FD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proofErr w:type="spellStart"/>
      <w:r w:rsidRPr="006214A2">
        <w:rPr>
          <w:rFonts w:ascii="Times New Roman" w:eastAsia="Times New Roman" w:hAnsi="Times New Roman"/>
          <w:sz w:val="28"/>
          <w:szCs w:val="32"/>
          <w:lang w:eastAsia="ru-RU"/>
        </w:rPr>
        <w:t>Ивашковская</w:t>
      </w:r>
      <w:proofErr w:type="spellEnd"/>
      <w:r w:rsidRPr="006214A2">
        <w:rPr>
          <w:rFonts w:ascii="Times New Roman" w:eastAsia="Times New Roman" w:hAnsi="Times New Roman"/>
          <w:sz w:val="28"/>
          <w:szCs w:val="32"/>
          <w:lang w:eastAsia="ru-RU"/>
        </w:rPr>
        <w:t xml:space="preserve"> И. В., </w:t>
      </w:r>
      <w:proofErr w:type="spellStart"/>
      <w:r w:rsidRPr="006214A2">
        <w:rPr>
          <w:rFonts w:ascii="Times New Roman" w:eastAsia="Times New Roman" w:hAnsi="Times New Roman"/>
          <w:sz w:val="28"/>
          <w:szCs w:val="32"/>
          <w:lang w:eastAsia="ru-RU"/>
        </w:rPr>
        <w:t>Янгель</w:t>
      </w:r>
      <w:proofErr w:type="spellEnd"/>
      <w:r w:rsidRPr="006214A2">
        <w:rPr>
          <w:rFonts w:ascii="Times New Roman" w:eastAsia="Times New Roman" w:hAnsi="Times New Roman"/>
          <w:sz w:val="28"/>
          <w:szCs w:val="32"/>
          <w:lang w:eastAsia="ru-RU"/>
        </w:rPr>
        <w:t xml:space="preserve"> Д. О. Жизненный цикл организации и агрегированный показатель роста //Корпоративные финансы.</w:t>
      </w:r>
      <w:r>
        <w:rPr>
          <w:rFonts w:ascii="Times New Roman" w:eastAsia="Times New Roman" w:hAnsi="Times New Roman"/>
          <w:sz w:val="28"/>
          <w:szCs w:val="32"/>
          <w:lang w:eastAsia="ru-RU"/>
        </w:rPr>
        <w:t xml:space="preserve"> – 2007. – №.4</w:t>
      </w:r>
    </w:p>
    <w:p w:rsidR="001F0FD9" w:rsidRDefault="001F0FD9"/>
    <w:sectPr w:rsidR="001F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1F74"/>
    <w:multiLevelType w:val="hybridMultilevel"/>
    <w:tmpl w:val="AA6C801A"/>
    <w:lvl w:ilvl="0" w:tplc="CD6AF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76"/>
    <w:rsid w:val="001F0FD9"/>
    <w:rsid w:val="00377B85"/>
    <w:rsid w:val="003D587D"/>
    <w:rsid w:val="006214A2"/>
    <w:rsid w:val="008A724D"/>
    <w:rsid w:val="00B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C20-1AFE-4B64-992D-A4EE69C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8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F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2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2022-02-17T18:29:00Z</dcterms:created>
  <dcterms:modified xsi:type="dcterms:W3CDTF">2022-02-18T14:59:00Z</dcterms:modified>
</cp:coreProperties>
</file>