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F6" w:rsidRPr="003D5EEA" w:rsidRDefault="00916DF6" w:rsidP="00B83C79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8"/>
        </w:rPr>
      </w:pPr>
      <w:proofErr w:type="spellStart"/>
      <w:r w:rsidRPr="003D5EEA">
        <w:rPr>
          <w:rFonts w:ascii="Times New Roman" w:hAnsi="Times New Roman" w:cs="Times New Roman"/>
          <w:b/>
          <w:color w:val="auto"/>
          <w:sz w:val="28"/>
        </w:rPr>
        <w:t>Кульбекова</w:t>
      </w:r>
      <w:proofErr w:type="spellEnd"/>
      <w:r w:rsidRPr="003D5EEA">
        <w:rPr>
          <w:rFonts w:ascii="Times New Roman" w:hAnsi="Times New Roman" w:cs="Times New Roman"/>
          <w:b/>
          <w:color w:val="auto"/>
          <w:sz w:val="28"/>
        </w:rPr>
        <w:t xml:space="preserve"> А.С.</w:t>
      </w:r>
    </w:p>
    <w:p w:rsidR="00916DF6" w:rsidRPr="003D5EEA" w:rsidRDefault="006F70AD" w:rsidP="00B83C79">
      <w:pPr>
        <w:spacing w:after="0" w:line="240" w:lineRule="auto"/>
        <w:contextualSpacing/>
        <w:jc w:val="right"/>
        <w:rPr>
          <w:rFonts w:cs="Times New Roman"/>
          <w:color w:val="auto"/>
          <w:lang w:val="ru-RU"/>
        </w:rPr>
      </w:pPr>
      <w:r w:rsidRPr="003D5EEA">
        <w:rPr>
          <w:rFonts w:cs="Times New Roman"/>
          <w:lang w:val="ru-RU"/>
        </w:rPr>
        <w:t>магистран</w:t>
      </w:r>
      <w:r w:rsidR="004E62DF" w:rsidRPr="003D5EEA">
        <w:rPr>
          <w:rFonts w:cs="Times New Roman"/>
          <w:lang w:val="ru-RU"/>
        </w:rPr>
        <w:t>т</w:t>
      </w:r>
    </w:p>
    <w:p w:rsidR="00916DF6" w:rsidRPr="003D5EEA" w:rsidRDefault="00916DF6" w:rsidP="00B83C79">
      <w:pPr>
        <w:spacing w:after="0" w:line="240" w:lineRule="auto"/>
        <w:contextualSpacing/>
        <w:jc w:val="right"/>
        <w:rPr>
          <w:rFonts w:cs="Times New Roman"/>
          <w:lang w:val="ru-RU"/>
        </w:rPr>
      </w:pPr>
      <w:r w:rsidRPr="003D5EEA">
        <w:rPr>
          <w:rFonts w:cs="Times New Roman"/>
          <w:lang w:val="ru-RU"/>
        </w:rPr>
        <w:t xml:space="preserve">ГКОУ </w:t>
      </w:r>
      <w:proofErr w:type="gramStart"/>
      <w:r w:rsidRPr="003D5EEA">
        <w:rPr>
          <w:rFonts w:cs="Times New Roman"/>
          <w:lang w:val="ru-RU"/>
        </w:rPr>
        <w:t>ВО</w:t>
      </w:r>
      <w:proofErr w:type="gramEnd"/>
      <w:r w:rsidRPr="003D5EEA">
        <w:rPr>
          <w:rFonts w:cs="Times New Roman"/>
          <w:lang w:val="ru-RU"/>
        </w:rPr>
        <w:t xml:space="preserve"> «Российская таможенная академия»</w:t>
      </w:r>
    </w:p>
    <w:p w:rsidR="00916DF6" w:rsidRPr="003D5EEA" w:rsidRDefault="00916DF6" w:rsidP="00B83C79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8"/>
        </w:rPr>
      </w:pPr>
    </w:p>
    <w:p w:rsidR="00916DF6" w:rsidRPr="003D5EEA" w:rsidRDefault="00916DF6" w:rsidP="00B83C79">
      <w:pPr>
        <w:pStyle w:val="1"/>
        <w:spacing w:before="0" w:line="240" w:lineRule="auto"/>
        <w:contextualSpacing/>
        <w:jc w:val="right"/>
        <w:rPr>
          <w:rFonts w:ascii="Times New Roman" w:hAnsi="Times New Roman" w:cs="Times New Roman"/>
          <w:b/>
          <w:color w:val="auto"/>
          <w:sz w:val="28"/>
        </w:rPr>
      </w:pPr>
      <w:r w:rsidRPr="003D5EEA">
        <w:rPr>
          <w:rFonts w:ascii="Times New Roman" w:hAnsi="Times New Roman" w:cs="Times New Roman"/>
          <w:b/>
          <w:color w:val="auto"/>
          <w:sz w:val="28"/>
        </w:rPr>
        <w:t xml:space="preserve">Научный руководитель </w:t>
      </w:r>
      <w:proofErr w:type="spellStart"/>
      <w:r w:rsidRPr="003D5EEA">
        <w:rPr>
          <w:rFonts w:ascii="Times New Roman" w:hAnsi="Times New Roman" w:cs="Times New Roman"/>
          <w:b/>
          <w:color w:val="auto"/>
          <w:sz w:val="28"/>
        </w:rPr>
        <w:t>Макрусев</w:t>
      </w:r>
      <w:proofErr w:type="spellEnd"/>
      <w:r w:rsidRPr="003D5EEA">
        <w:rPr>
          <w:rFonts w:ascii="Times New Roman" w:hAnsi="Times New Roman" w:cs="Times New Roman"/>
          <w:b/>
          <w:color w:val="auto"/>
          <w:sz w:val="28"/>
        </w:rPr>
        <w:t xml:space="preserve"> В.В.</w:t>
      </w:r>
    </w:p>
    <w:p w:rsidR="00916DF6" w:rsidRPr="003D5EEA" w:rsidRDefault="00916DF6" w:rsidP="00B83C79">
      <w:pPr>
        <w:spacing w:after="0" w:line="240" w:lineRule="auto"/>
        <w:contextualSpacing/>
        <w:jc w:val="right"/>
        <w:rPr>
          <w:rFonts w:cs="Times New Roman"/>
          <w:color w:val="auto"/>
          <w:lang w:val="ru-RU"/>
        </w:rPr>
      </w:pPr>
      <w:r w:rsidRPr="003D5EEA">
        <w:rPr>
          <w:rFonts w:cs="Times New Roman"/>
          <w:lang w:val="ru-RU"/>
        </w:rPr>
        <w:t>доктор физико-математический наук,</w:t>
      </w:r>
    </w:p>
    <w:p w:rsidR="00916DF6" w:rsidRPr="003D5EEA" w:rsidRDefault="00916DF6" w:rsidP="00B83C79">
      <w:pPr>
        <w:spacing w:after="0" w:line="240" w:lineRule="auto"/>
        <w:contextualSpacing/>
        <w:jc w:val="right"/>
        <w:rPr>
          <w:rFonts w:cs="Times New Roman"/>
          <w:lang w:val="ru-RU"/>
        </w:rPr>
      </w:pPr>
      <w:r w:rsidRPr="003D5EEA">
        <w:rPr>
          <w:rFonts w:cs="Times New Roman"/>
          <w:lang w:val="ru-RU"/>
        </w:rPr>
        <w:t>профессор кафедры управления,</w:t>
      </w:r>
    </w:p>
    <w:p w:rsidR="00916DF6" w:rsidRPr="003D5EEA" w:rsidRDefault="00916DF6" w:rsidP="00B83C79">
      <w:pPr>
        <w:spacing w:after="0" w:line="240" w:lineRule="auto"/>
        <w:contextualSpacing/>
        <w:jc w:val="right"/>
        <w:rPr>
          <w:rFonts w:cs="Times New Roman"/>
          <w:lang w:val="ru-RU"/>
        </w:rPr>
      </w:pPr>
      <w:r w:rsidRPr="003D5EEA">
        <w:rPr>
          <w:rFonts w:cs="Times New Roman"/>
          <w:lang w:val="ru-RU"/>
        </w:rPr>
        <w:t xml:space="preserve">профессор </w:t>
      </w:r>
    </w:p>
    <w:p w:rsidR="00916DF6" w:rsidRPr="003D5EEA" w:rsidRDefault="00916DF6" w:rsidP="00B83C79">
      <w:pPr>
        <w:spacing w:after="0" w:line="240" w:lineRule="auto"/>
        <w:contextualSpacing/>
        <w:jc w:val="right"/>
        <w:rPr>
          <w:rFonts w:cs="Times New Roman"/>
          <w:sz w:val="22"/>
          <w:lang w:val="ru-RU"/>
        </w:rPr>
      </w:pPr>
      <w:r w:rsidRPr="003D5EEA">
        <w:rPr>
          <w:rFonts w:cs="Times New Roman"/>
          <w:lang w:val="ru-RU"/>
        </w:rPr>
        <w:t xml:space="preserve">ГКОУ </w:t>
      </w:r>
      <w:proofErr w:type="gramStart"/>
      <w:r w:rsidRPr="003D5EEA">
        <w:rPr>
          <w:rFonts w:cs="Times New Roman"/>
          <w:lang w:val="ru-RU"/>
        </w:rPr>
        <w:t>ВО</w:t>
      </w:r>
      <w:proofErr w:type="gramEnd"/>
      <w:r w:rsidRPr="003D5EEA">
        <w:rPr>
          <w:rFonts w:cs="Times New Roman"/>
          <w:lang w:val="ru-RU"/>
        </w:rPr>
        <w:t xml:space="preserve"> «Российская таможенная академия»</w:t>
      </w:r>
    </w:p>
    <w:p w:rsidR="00916DF6" w:rsidRPr="00DE6F28" w:rsidRDefault="00916DF6" w:rsidP="00B83C79">
      <w:pPr>
        <w:pStyle w:val="p2"/>
        <w:spacing w:before="0" w:beforeAutospacing="0" w:after="0" w:afterAutospacing="0" w:line="360" w:lineRule="auto"/>
        <w:ind w:firstLine="709"/>
        <w:contextualSpacing/>
        <w:rPr>
          <w:b/>
        </w:rPr>
      </w:pPr>
    </w:p>
    <w:p w:rsidR="00916DF6" w:rsidRPr="00E50440" w:rsidRDefault="00916DF6" w:rsidP="00B83C7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6D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ЗАРУБЕЖНЫЙ ОПЫТ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04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 ВЗАИМОДЕЙСТВИЯ</w:t>
      </w:r>
    </w:p>
    <w:p w:rsidR="00916DF6" w:rsidRPr="00916DF6" w:rsidRDefault="00916DF6" w:rsidP="00B83C79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4179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ТАМОЖЕННЫХ ОРГАНОВ И УЧАСТНИКОВ ВЭД</w:t>
      </w:r>
    </w:p>
    <w:p w:rsidR="00916DF6" w:rsidRPr="008E63AD" w:rsidRDefault="00916DF6" w:rsidP="00B83C79">
      <w:pPr>
        <w:spacing w:line="240" w:lineRule="auto"/>
        <w:contextualSpacing/>
        <w:rPr>
          <w:lang w:val="ru-RU" w:bidi="ar-SA"/>
        </w:rPr>
      </w:pPr>
    </w:p>
    <w:p w:rsidR="00916DF6" w:rsidRDefault="00916DF6" w:rsidP="00217921">
      <w:pPr>
        <w:spacing w:after="0"/>
        <w:ind w:firstLine="709"/>
        <w:contextualSpacing/>
        <w:rPr>
          <w:lang w:val="ru-RU"/>
        </w:rPr>
      </w:pPr>
      <w:r w:rsidRPr="008E63AD">
        <w:rPr>
          <w:rFonts w:eastAsiaTheme="majorEastAsia" w:cs="Times New Roman"/>
          <w:b/>
          <w:i/>
          <w:szCs w:val="32"/>
          <w:lang w:val="ru-RU"/>
        </w:rPr>
        <w:t>Аннотация.</w:t>
      </w:r>
      <w:r w:rsidRPr="008E63AD">
        <w:rPr>
          <w:rFonts w:eastAsiaTheme="majorEastAsia" w:cs="Times New Roman"/>
          <w:szCs w:val="32"/>
          <w:lang w:val="ru-RU"/>
        </w:rPr>
        <w:t xml:space="preserve"> </w:t>
      </w:r>
      <w:r w:rsidRPr="00D039D0">
        <w:rPr>
          <w:rFonts w:eastAsiaTheme="majorEastAsia" w:cs="Times New Roman"/>
          <w:szCs w:val="32"/>
          <w:lang w:val="ru-RU"/>
        </w:rPr>
        <w:t xml:space="preserve">В статье </w:t>
      </w:r>
      <w:r w:rsidR="00217921">
        <w:rPr>
          <w:rFonts w:eastAsiaTheme="majorEastAsia" w:cs="Times New Roman"/>
          <w:szCs w:val="32"/>
          <w:lang w:val="ru-RU"/>
        </w:rPr>
        <w:t>проанализирован зарубежный опыт функцион</w:t>
      </w:r>
      <w:r w:rsidR="00217921">
        <w:rPr>
          <w:rFonts w:eastAsiaTheme="majorEastAsia" w:cs="Times New Roman"/>
          <w:szCs w:val="32"/>
          <w:lang w:val="ru-RU"/>
        </w:rPr>
        <w:t>и</w:t>
      </w:r>
      <w:r w:rsidR="00217921">
        <w:rPr>
          <w:rFonts w:eastAsiaTheme="majorEastAsia" w:cs="Times New Roman"/>
          <w:szCs w:val="32"/>
          <w:lang w:val="ru-RU"/>
        </w:rPr>
        <w:t>рования таможен, изучен механизм взаимодействия таможенных органов с участниками ВЭД</w:t>
      </w:r>
      <w:r w:rsidRPr="00D039D0">
        <w:rPr>
          <w:lang w:val="ru-RU"/>
        </w:rPr>
        <w:t>.</w:t>
      </w:r>
      <w:r w:rsidRPr="00D039D0">
        <w:rPr>
          <w:rFonts w:eastAsia="Calibri" w:cs="Times New Roman"/>
          <w:szCs w:val="24"/>
          <w:lang w:val="ru-RU"/>
        </w:rPr>
        <w:t xml:space="preserve"> </w:t>
      </w:r>
      <w:r w:rsidR="00217921">
        <w:rPr>
          <w:rFonts w:eastAsia="Calibri" w:cs="Times New Roman"/>
          <w:szCs w:val="24"/>
          <w:lang w:val="ru-RU"/>
        </w:rPr>
        <w:t xml:space="preserve">Описан </w:t>
      </w:r>
      <w:r w:rsidR="00217921">
        <w:rPr>
          <w:lang w:val="ru-RU"/>
        </w:rPr>
        <w:t>п</w:t>
      </w:r>
      <w:r w:rsidR="00217921" w:rsidRPr="00916DF6">
        <w:rPr>
          <w:lang w:val="ru-RU"/>
        </w:rPr>
        <w:t>рактический опыт реализации цифровой модели таможенного регулирования</w:t>
      </w:r>
      <w:r w:rsidR="00217921">
        <w:rPr>
          <w:rFonts w:eastAsia="Calibri" w:cs="Times New Roman"/>
          <w:szCs w:val="24"/>
          <w:lang w:val="ru-RU"/>
        </w:rPr>
        <w:t xml:space="preserve">, сформированы </w:t>
      </w:r>
      <w:r w:rsidR="00217921" w:rsidRPr="00916DF6">
        <w:rPr>
          <w:lang w:val="ru-RU"/>
        </w:rPr>
        <w:t>проблемы таможенного админ</w:t>
      </w:r>
      <w:r w:rsidR="00217921" w:rsidRPr="00916DF6">
        <w:rPr>
          <w:lang w:val="ru-RU"/>
        </w:rPr>
        <w:t>и</w:t>
      </w:r>
      <w:r w:rsidR="00217921" w:rsidRPr="00916DF6">
        <w:rPr>
          <w:lang w:val="ru-RU"/>
        </w:rPr>
        <w:t>стрирования в условиях реализации парадигмы современной экономики</w:t>
      </w:r>
      <w:r w:rsidR="00217921">
        <w:rPr>
          <w:lang w:val="ru-RU"/>
        </w:rPr>
        <w:t>.</w:t>
      </w:r>
    </w:p>
    <w:p w:rsidR="00217921" w:rsidRPr="008E63AD" w:rsidRDefault="00217921" w:rsidP="00217921">
      <w:pPr>
        <w:spacing w:after="0"/>
        <w:ind w:firstLine="709"/>
        <w:contextualSpacing/>
        <w:rPr>
          <w:rFonts w:eastAsia="Calibri" w:cs="Times New Roman"/>
          <w:szCs w:val="24"/>
          <w:lang w:val="ru-RU"/>
        </w:rPr>
      </w:pPr>
    </w:p>
    <w:p w:rsidR="00916DF6" w:rsidRDefault="00916DF6" w:rsidP="00B83C79">
      <w:pPr>
        <w:spacing w:after="0"/>
        <w:ind w:firstLine="709"/>
        <w:contextualSpacing/>
        <w:rPr>
          <w:rFonts w:eastAsiaTheme="majorEastAsia" w:cs="Times New Roman"/>
          <w:szCs w:val="32"/>
          <w:lang w:val="ru-RU"/>
        </w:rPr>
      </w:pPr>
      <w:r w:rsidRPr="008E63AD">
        <w:rPr>
          <w:rFonts w:eastAsiaTheme="majorEastAsia" w:cs="Times New Roman"/>
          <w:b/>
          <w:i/>
          <w:szCs w:val="32"/>
          <w:lang w:val="ru-RU"/>
        </w:rPr>
        <w:t>Ключевые слова:</w:t>
      </w:r>
      <w:r w:rsidRPr="008E63AD">
        <w:rPr>
          <w:rFonts w:eastAsiaTheme="majorEastAsia" w:cs="Times New Roman"/>
          <w:szCs w:val="32"/>
          <w:lang w:val="ru-RU"/>
        </w:rPr>
        <w:t xml:space="preserve"> </w:t>
      </w:r>
      <w:r w:rsidR="00F3390B" w:rsidRPr="00F3390B">
        <w:rPr>
          <w:lang w:val="ru-RU"/>
        </w:rPr>
        <w:t>информационное взаимодействие</w:t>
      </w:r>
      <w:r w:rsidRPr="00F3390B">
        <w:rPr>
          <w:rFonts w:eastAsiaTheme="majorEastAsia" w:cs="Times New Roman"/>
          <w:szCs w:val="32"/>
          <w:lang w:val="ru-RU"/>
        </w:rPr>
        <w:t xml:space="preserve">, </w:t>
      </w:r>
      <w:r w:rsidR="00F3390B" w:rsidRPr="00F3390B">
        <w:rPr>
          <w:rFonts w:eastAsiaTheme="majorEastAsia" w:cs="Times New Roman"/>
          <w:szCs w:val="32"/>
          <w:lang w:val="ru-RU"/>
        </w:rPr>
        <w:t>зарубежный опыт</w:t>
      </w:r>
      <w:r w:rsidRPr="00F3390B">
        <w:rPr>
          <w:rFonts w:eastAsiaTheme="majorEastAsia" w:cs="Times New Roman"/>
          <w:szCs w:val="32"/>
          <w:lang w:val="ru-RU"/>
        </w:rPr>
        <w:t xml:space="preserve">, </w:t>
      </w:r>
      <w:r w:rsidR="00F3390B" w:rsidRPr="00F3390B">
        <w:rPr>
          <w:rFonts w:eastAsiaTheme="majorEastAsia" w:cs="Times New Roman"/>
          <w:szCs w:val="32"/>
          <w:lang w:val="ru-RU"/>
        </w:rPr>
        <w:t>предварительное информирование</w:t>
      </w:r>
      <w:r w:rsidRPr="00F3390B">
        <w:rPr>
          <w:rFonts w:eastAsiaTheme="majorEastAsia" w:cs="Times New Roman"/>
          <w:szCs w:val="32"/>
          <w:lang w:val="ru-RU"/>
        </w:rPr>
        <w:t xml:space="preserve">, таможенные органы, </w:t>
      </w:r>
      <w:r w:rsidR="00F3390B" w:rsidRPr="00F3390B">
        <w:rPr>
          <w:rFonts w:eastAsiaTheme="majorEastAsia" w:cs="Times New Roman"/>
          <w:szCs w:val="32"/>
          <w:lang w:val="ru-RU"/>
        </w:rPr>
        <w:t>электронная тамо</w:t>
      </w:r>
      <w:r w:rsidR="00F3390B" w:rsidRPr="00F3390B">
        <w:rPr>
          <w:rFonts w:eastAsiaTheme="majorEastAsia" w:cs="Times New Roman"/>
          <w:szCs w:val="32"/>
          <w:lang w:val="ru-RU"/>
        </w:rPr>
        <w:t>ж</w:t>
      </w:r>
      <w:r w:rsidR="00F3390B" w:rsidRPr="00F3390B">
        <w:rPr>
          <w:rFonts w:eastAsiaTheme="majorEastAsia" w:cs="Times New Roman"/>
          <w:szCs w:val="32"/>
          <w:lang w:val="ru-RU"/>
        </w:rPr>
        <w:t>ня</w:t>
      </w:r>
      <w:r w:rsidRPr="00F3390B">
        <w:rPr>
          <w:rFonts w:eastAsiaTheme="majorEastAsia" w:cs="Times New Roman"/>
          <w:szCs w:val="32"/>
          <w:lang w:val="ru-RU"/>
        </w:rPr>
        <w:t>.</w:t>
      </w:r>
    </w:p>
    <w:p w:rsidR="00351B79" w:rsidRPr="00351B79" w:rsidRDefault="00351B79" w:rsidP="006E617C">
      <w:pPr>
        <w:spacing w:after="0" w:line="240" w:lineRule="auto"/>
        <w:ind w:firstLine="709"/>
        <w:contextualSpacing/>
        <w:rPr>
          <w:rFonts w:eastAsiaTheme="majorEastAsia" w:cs="Times New Roman"/>
          <w:szCs w:val="32"/>
          <w:lang w:val="ru-RU"/>
        </w:rPr>
      </w:pPr>
    </w:p>
    <w:p w:rsidR="00916DF6" w:rsidRPr="00916DF6" w:rsidRDefault="00916DF6" w:rsidP="00B83C79">
      <w:pPr>
        <w:spacing w:after="0"/>
        <w:ind w:firstLine="709"/>
        <w:contextualSpacing/>
        <w:rPr>
          <w:rFonts w:eastAsia="Times New Roman" w:cs="Times New Roman"/>
          <w:szCs w:val="28"/>
          <w:lang w:val="ru-RU"/>
        </w:rPr>
      </w:pPr>
      <w:r w:rsidRPr="00916DF6">
        <w:rPr>
          <w:rFonts w:eastAsia="Times New Roman" w:cs="Times New Roman"/>
          <w:szCs w:val="28"/>
          <w:lang w:val="ru-RU"/>
        </w:rPr>
        <w:t xml:space="preserve">Практически все развитые и развивающиеся страны мира </w:t>
      </w:r>
      <w:proofErr w:type="gramStart"/>
      <w:r w:rsidRPr="00916DF6">
        <w:rPr>
          <w:rFonts w:eastAsia="Times New Roman" w:cs="Times New Roman"/>
          <w:szCs w:val="28"/>
          <w:lang w:val="ru-RU"/>
        </w:rPr>
        <w:t xml:space="preserve">являются членами </w:t>
      </w:r>
      <w:proofErr w:type="spellStart"/>
      <w:r w:rsidRPr="00916DF6">
        <w:rPr>
          <w:rFonts w:eastAsia="Times New Roman" w:cs="Times New Roman"/>
          <w:szCs w:val="28"/>
          <w:lang w:val="ru-RU"/>
        </w:rPr>
        <w:t>ВТамО</w:t>
      </w:r>
      <w:proofErr w:type="spellEnd"/>
      <w:r w:rsidRPr="00916DF6">
        <w:rPr>
          <w:rFonts w:eastAsia="Times New Roman" w:cs="Times New Roman"/>
          <w:szCs w:val="28"/>
          <w:lang w:val="ru-RU"/>
        </w:rPr>
        <w:t xml:space="preserve"> и информационное взаимодействие между таможенными о</w:t>
      </w:r>
      <w:r w:rsidRPr="00916DF6">
        <w:rPr>
          <w:rFonts w:eastAsia="Times New Roman" w:cs="Times New Roman"/>
          <w:szCs w:val="28"/>
          <w:lang w:val="ru-RU"/>
        </w:rPr>
        <w:t>р</w:t>
      </w:r>
      <w:r w:rsidRPr="00916DF6">
        <w:rPr>
          <w:rFonts w:eastAsia="Times New Roman" w:cs="Times New Roman"/>
          <w:szCs w:val="28"/>
          <w:lang w:val="ru-RU"/>
        </w:rPr>
        <w:t xml:space="preserve">ганами и участниками ВЭД в странах </w:t>
      </w:r>
      <w:proofErr w:type="spellStart"/>
      <w:r w:rsidRPr="00916DF6">
        <w:rPr>
          <w:rFonts w:eastAsia="Times New Roman" w:cs="Times New Roman"/>
          <w:szCs w:val="28"/>
          <w:lang w:val="ru-RU"/>
        </w:rPr>
        <w:t>ВТамО</w:t>
      </w:r>
      <w:proofErr w:type="spellEnd"/>
      <w:r w:rsidRPr="00916DF6">
        <w:rPr>
          <w:rFonts w:eastAsia="Times New Roman" w:cs="Times New Roman"/>
          <w:szCs w:val="28"/>
          <w:lang w:val="ru-RU"/>
        </w:rPr>
        <w:t xml:space="preserve"> осуществляется</w:t>
      </w:r>
      <w:proofErr w:type="gramEnd"/>
      <w:r w:rsidRPr="00916DF6">
        <w:rPr>
          <w:rFonts w:eastAsia="Times New Roman" w:cs="Times New Roman"/>
          <w:szCs w:val="28"/>
          <w:lang w:val="ru-RU"/>
        </w:rPr>
        <w:t xml:space="preserve"> на основании международных рекомендаций. Поскольку основной опорой в вопросах и</w:t>
      </w:r>
      <w:r w:rsidRPr="00916DF6">
        <w:rPr>
          <w:rFonts w:eastAsia="Times New Roman" w:cs="Times New Roman"/>
          <w:szCs w:val="28"/>
          <w:lang w:val="ru-RU"/>
        </w:rPr>
        <w:t>н</w:t>
      </w:r>
      <w:r w:rsidRPr="00916DF6">
        <w:rPr>
          <w:rFonts w:eastAsia="Times New Roman" w:cs="Times New Roman"/>
          <w:szCs w:val="28"/>
          <w:lang w:val="ru-RU"/>
        </w:rPr>
        <w:t>формационного взаимодействия является опора «таможня-бизнес», то в ра</w:t>
      </w:r>
      <w:r w:rsidRPr="00916DF6">
        <w:rPr>
          <w:rFonts w:eastAsia="Times New Roman" w:cs="Times New Roman"/>
          <w:szCs w:val="28"/>
          <w:lang w:val="ru-RU"/>
        </w:rPr>
        <w:t>м</w:t>
      </w:r>
      <w:r w:rsidRPr="00916DF6">
        <w:rPr>
          <w:rFonts w:eastAsia="Times New Roman" w:cs="Times New Roman"/>
          <w:szCs w:val="28"/>
          <w:lang w:val="ru-RU"/>
        </w:rPr>
        <w:t xml:space="preserve">ках ее реализации </w:t>
      </w:r>
      <w:proofErr w:type="spellStart"/>
      <w:r w:rsidRPr="00916DF6">
        <w:rPr>
          <w:rFonts w:eastAsia="Times New Roman" w:cs="Times New Roman"/>
          <w:szCs w:val="28"/>
          <w:lang w:val="ru-RU"/>
        </w:rPr>
        <w:t>ВТамО</w:t>
      </w:r>
      <w:proofErr w:type="spellEnd"/>
      <w:r w:rsidRPr="00916DF6">
        <w:rPr>
          <w:rFonts w:eastAsia="Times New Roman" w:cs="Times New Roman"/>
          <w:szCs w:val="28"/>
          <w:lang w:val="ru-RU"/>
        </w:rPr>
        <w:t xml:space="preserve"> предусматривает совершенствование применения механизма «единого окна», причем не на этапе таможенного декларирования товаров, а на этапе предварительного информирования таможенных органов при импорте и экспорте товаров. То есть, Всемирная таможенная организ</w:t>
      </w:r>
      <w:r w:rsidRPr="00916DF6">
        <w:rPr>
          <w:rFonts w:eastAsia="Times New Roman" w:cs="Times New Roman"/>
          <w:szCs w:val="28"/>
          <w:lang w:val="ru-RU"/>
        </w:rPr>
        <w:t>а</w:t>
      </w:r>
      <w:r w:rsidRPr="00916DF6">
        <w:rPr>
          <w:rFonts w:eastAsia="Times New Roman" w:cs="Times New Roman"/>
          <w:szCs w:val="28"/>
          <w:lang w:val="ru-RU"/>
        </w:rPr>
        <w:t>ция рекомендует странам совершенствовать предварительное информиров</w:t>
      </w:r>
      <w:r w:rsidRPr="00916DF6">
        <w:rPr>
          <w:rFonts w:eastAsia="Times New Roman" w:cs="Times New Roman"/>
          <w:szCs w:val="28"/>
          <w:lang w:val="ru-RU"/>
        </w:rPr>
        <w:t>а</w:t>
      </w:r>
      <w:r w:rsidRPr="00916DF6">
        <w:rPr>
          <w:rFonts w:eastAsia="Times New Roman" w:cs="Times New Roman"/>
          <w:szCs w:val="28"/>
          <w:lang w:val="ru-RU"/>
        </w:rPr>
        <w:t xml:space="preserve">ние таможенных органов с применением механизма «единого окна». Данная </w:t>
      </w:r>
      <w:r w:rsidRPr="00916DF6">
        <w:rPr>
          <w:rFonts w:eastAsia="Times New Roman" w:cs="Times New Roman"/>
          <w:szCs w:val="28"/>
          <w:lang w:val="ru-RU"/>
        </w:rPr>
        <w:lastRenderedPageBreak/>
        <w:t>рекомендация была утверждена  на основании опыта некоторых стран Евр</w:t>
      </w:r>
      <w:r w:rsidRPr="00916DF6">
        <w:rPr>
          <w:rFonts w:eastAsia="Times New Roman" w:cs="Times New Roman"/>
          <w:szCs w:val="28"/>
          <w:lang w:val="ru-RU"/>
        </w:rPr>
        <w:t>о</w:t>
      </w:r>
      <w:r w:rsidRPr="00916DF6">
        <w:rPr>
          <w:rFonts w:eastAsia="Times New Roman" w:cs="Times New Roman"/>
          <w:szCs w:val="28"/>
          <w:lang w:val="ru-RU"/>
        </w:rPr>
        <w:t xml:space="preserve">пейского союза (далее </w:t>
      </w:r>
      <w:r>
        <w:rPr>
          <w:rFonts w:cs="Times New Roman"/>
          <w:szCs w:val="28"/>
        </w:rPr>
        <w:sym w:font="Symbol" w:char="F02D"/>
      </w:r>
      <w:r w:rsidRPr="00916DF6">
        <w:rPr>
          <w:rFonts w:eastAsia="Times New Roman" w:cs="Times New Roman"/>
          <w:szCs w:val="28"/>
          <w:lang w:val="ru-RU"/>
        </w:rPr>
        <w:t xml:space="preserve"> ЕС), Соединенных Штатов Америки (далее </w:t>
      </w:r>
      <w:r>
        <w:rPr>
          <w:rFonts w:cs="Times New Roman"/>
          <w:szCs w:val="28"/>
        </w:rPr>
        <w:sym w:font="Symbol" w:char="F02D"/>
      </w:r>
      <w:r w:rsidRPr="00916DF6">
        <w:rPr>
          <w:rFonts w:eastAsia="Times New Roman" w:cs="Times New Roman"/>
          <w:szCs w:val="28"/>
          <w:lang w:val="ru-RU"/>
        </w:rPr>
        <w:t xml:space="preserve"> США), Японии и Сингапура, которые стали первыми в практике работы таможенных органов применять предварительное информирование вместе с механизмом «единого окна».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Первой в мире страной, которая стала применять при информационном взаимодействии таможенных органов и участников ВЭД  механизм «единого окна» стал Сингапур. В 1989 году в Сингапуре стало применяться электро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 xml:space="preserve">ное декларирование товаров через информационную платформу </w:t>
      </w:r>
      <w:proofErr w:type="spellStart"/>
      <w:r>
        <w:rPr>
          <w:rFonts w:cs="Times New Roman"/>
          <w:szCs w:val="28"/>
        </w:rPr>
        <w:t>TradeNet</w:t>
      </w:r>
      <w:proofErr w:type="spellEnd"/>
      <w:r w:rsidRPr="00916DF6">
        <w:rPr>
          <w:rFonts w:cs="Times New Roman"/>
          <w:szCs w:val="28"/>
          <w:lang w:val="ru-RU"/>
        </w:rPr>
        <w:t>, которая стала основой для создания Автоматизированной информационно-расчетной системы (аналог российского механизма «единое окно»).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 xml:space="preserve">В 2007 году в Сингапур расширил деятельность платформы </w:t>
      </w:r>
      <w:proofErr w:type="spellStart"/>
      <w:r>
        <w:rPr>
          <w:rFonts w:cs="Times New Roman"/>
          <w:szCs w:val="28"/>
        </w:rPr>
        <w:t>TradeNet</w:t>
      </w:r>
      <w:proofErr w:type="spellEnd"/>
      <w:r w:rsidRPr="00916DF6">
        <w:rPr>
          <w:rFonts w:cs="Times New Roman"/>
          <w:szCs w:val="28"/>
          <w:lang w:val="ru-RU"/>
        </w:rPr>
        <w:t xml:space="preserve">, добавив в ее работу информационную платформу </w:t>
      </w:r>
      <w:proofErr w:type="spellStart"/>
      <w:r>
        <w:rPr>
          <w:rFonts w:cs="Times New Roman"/>
          <w:szCs w:val="28"/>
        </w:rPr>
        <w:t>TredeXchange</w:t>
      </w:r>
      <w:proofErr w:type="spellEnd"/>
      <w:r w:rsidRPr="00916DF6">
        <w:rPr>
          <w:rFonts w:cs="Times New Roman"/>
          <w:szCs w:val="28"/>
          <w:lang w:val="ru-RU"/>
        </w:rPr>
        <w:t>, что позв</w:t>
      </w:r>
      <w:r w:rsidRPr="00916DF6">
        <w:rPr>
          <w:rFonts w:cs="Times New Roman"/>
          <w:szCs w:val="28"/>
          <w:lang w:val="ru-RU"/>
        </w:rPr>
        <w:t>о</w:t>
      </w:r>
      <w:r w:rsidRPr="00916DF6">
        <w:rPr>
          <w:rFonts w:cs="Times New Roman"/>
          <w:szCs w:val="28"/>
          <w:lang w:val="ru-RU"/>
        </w:rPr>
        <w:t>лило упростить порядок взаимодействия сингапурских участников ВЭД не только с таможенными органами, но и с другими государственными орган</w:t>
      </w:r>
      <w:r w:rsidRPr="00916DF6">
        <w:rPr>
          <w:rFonts w:cs="Times New Roman"/>
          <w:szCs w:val="28"/>
          <w:lang w:val="ru-RU"/>
        </w:rPr>
        <w:t>а</w:t>
      </w:r>
      <w:r w:rsidRPr="00916DF6">
        <w:rPr>
          <w:rFonts w:cs="Times New Roman"/>
          <w:szCs w:val="28"/>
          <w:lang w:val="ru-RU"/>
        </w:rPr>
        <w:t xml:space="preserve">ми Сингапура. </w:t>
      </w:r>
      <w:proofErr w:type="gramStart"/>
      <w:r w:rsidRPr="00916DF6">
        <w:rPr>
          <w:rFonts w:cs="Times New Roman"/>
          <w:szCs w:val="28"/>
          <w:lang w:val="ru-RU"/>
        </w:rPr>
        <w:t xml:space="preserve">Для работы с платформой </w:t>
      </w:r>
      <w:proofErr w:type="spellStart"/>
      <w:r>
        <w:rPr>
          <w:rFonts w:cs="Times New Roman"/>
          <w:szCs w:val="28"/>
        </w:rPr>
        <w:t>TredeXchange</w:t>
      </w:r>
      <w:proofErr w:type="spellEnd"/>
      <w:r w:rsidRPr="00916DF6">
        <w:rPr>
          <w:rFonts w:cs="Times New Roman"/>
          <w:szCs w:val="28"/>
          <w:lang w:val="ru-RU"/>
        </w:rPr>
        <w:t xml:space="preserve"> сингапурским учас</w:t>
      </w:r>
      <w:r w:rsidRPr="00916DF6">
        <w:rPr>
          <w:rFonts w:cs="Times New Roman"/>
          <w:szCs w:val="28"/>
          <w:lang w:val="ru-RU"/>
        </w:rPr>
        <w:t>т</w:t>
      </w:r>
      <w:r w:rsidRPr="00916DF6">
        <w:rPr>
          <w:rFonts w:cs="Times New Roman"/>
          <w:szCs w:val="28"/>
          <w:lang w:val="ru-RU"/>
        </w:rPr>
        <w:t>никами ВЭД необходимо приобрести программное обеспечение и ежемеся</w:t>
      </w:r>
      <w:r w:rsidRPr="00916DF6">
        <w:rPr>
          <w:rFonts w:cs="Times New Roman"/>
          <w:szCs w:val="28"/>
          <w:lang w:val="ru-RU"/>
        </w:rPr>
        <w:t>ч</w:t>
      </w:r>
      <w:r w:rsidRPr="00916DF6">
        <w:rPr>
          <w:rFonts w:cs="Times New Roman"/>
          <w:szCs w:val="28"/>
          <w:lang w:val="ru-RU"/>
        </w:rPr>
        <w:t>но оплачивать абонентскую плату, что и позволяет развивать информацио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>ное взаимодействие между таможенными органам Сингапура и участниками ВЭД с применением механизма «единого окна»</w:t>
      </w:r>
      <w:r w:rsidR="007B5E44" w:rsidRPr="007B5E44">
        <w:rPr>
          <w:rFonts w:cs="Times New Roman"/>
          <w:szCs w:val="28"/>
          <w:lang w:val="ru-RU"/>
        </w:rPr>
        <w:t xml:space="preserve"> [1]</w:t>
      </w:r>
      <w:r w:rsidRPr="00916DF6">
        <w:rPr>
          <w:rFonts w:cs="Times New Roman"/>
          <w:szCs w:val="28"/>
          <w:lang w:val="ru-RU"/>
        </w:rPr>
        <w:t>.</w:t>
      </w:r>
      <w:proofErr w:type="gramEnd"/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В 2012 году Сингапурская модель механизма «единого окна» была п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 xml:space="preserve">ренята Республикой Маврикий, но маврикийская версия платформы </w:t>
      </w:r>
      <w:proofErr w:type="spellStart"/>
      <w:r>
        <w:rPr>
          <w:rFonts w:cs="Times New Roman"/>
          <w:szCs w:val="28"/>
        </w:rPr>
        <w:t>TredeXchange</w:t>
      </w:r>
      <w:proofErr w:type="spellEnd"/>
      <w:r w:rsidRPr="00916DF6">
        <w:rPr>
          <w:rFonts w:cs="Times New Roman"/>
          <w:szCs w:val="28"/>
          <w:lang w:val="ru-RU"/>
        </w:rPr>
        <w:t xml:space="preserve"> несколько уже сингапурской, поскольку представляет собой программное обеспечение, которое позволяет передавать электронные да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>ные между таможенными органами, Министерством торговли Маврикия, и участниками ВЭД. То есть, механизм «единого окна» в Республике Мавр</w:t>
      </w:r>
      <w:r w:rsidRPr="00916DF6">
        <w:rPr>
          <w:rFonts w:cs="Times New Roman"/>
          <w:szCs w:val="28"/>
          <w:lang w:val="ru-RU"/>
        </w:rPr>
        <w:t>и</w:t>
      </w:r>
      <w:r w:rsidRPr="00916DF6">
        <w:rPr>
          <w:rFonts w:cs="Times New Roman"/>
          <w:szCs w:val="28"/>
          <w:lang w:val="ru-RU"/>
        </w:rPr>
        <w:t xml:space="preserve">кий не действует для большинства государственных органов. 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Первая стана ЕС, которая стала применять при информационном вза</w:t>
      </w:r>
      <w:r w:rsidRPr="00916DF6">
        <w:rPr>
          <w:rFonts w:cs="Times New Roman"/>
          <w:szCs w:val="28"/>
          <w:lang w:val="ru-RU"/>
        </w:rPr>
        <w:t>и</w:t>
      </w:r>
      <w:r w:rsidRPr="00916DF6">
        <w:rPr>
          <w:rFonts w:cs="Times New Roman"/>
          <w:szCs w:val="28"/>
          <w:lang w:val="ru-RU"/>
        </w:rPr>
        <w:t>модействии таможенных органов и участников ВЭД механизм «единого о</w:t>
      </w:r>
      <w:r w:rsidRPr="00916DF6">
        <w:rPr>
          <w:rFonts w:cs="Times New Roman"/>
          <w:szCs w:val="28"/>
          <w:lang w:val="ru-RU"/>
        </w:rPr>
        <w:t>к</w:t>
      </w:r>
      <w:r w:rsidRPr="00916DF6">
        <w:rPr>
          <w:rFonts w:cs="Times New Roman"/>
          <w:szCs w:val="28"/>
          <w:lang w:val="ru-RU"/>
        </w:rPr>
        <w:t>на» стала Швеция. На сегодняшний день участники ВЭД могут подать эле</w:t>
      </w:r>
      <w:r w:rsidRPr="00916DF6">
        <w:rPr>
          <w:rFonts w:cs="Times New Roman"/>
          <w:szCs w:val="28"/>
          <w:lang w:val="ru-RU"/>
        </w:rPr>
        <w:t>к</w:t>
      </w:r>
      <w:r w:rsidRPr="00916DF6">
        <w:rPr>
          <w:rFonts w:cs="Times New Roman"/>
          <w:szCs w:val="28"/>
          <w:lang w:val="ru-RU"/>
        </w:rPr>
        <w:lastRenderedPageBreak/>
        <w:t>тронные таможенные документы не только в таможенные органы, но и  в Национальное налоговое управление Швеции, Национальный совет по сел</w:t>
      </w:r>
      <w:r w:rsidRPr="00916DF6">
        <w:rPr>
          <w:rFonts w:cs="Times New Roman"/>
          <w:szCs w:val="28"/>
          <w:lang w:val="ru-RU"/>
        </w:rPr>
        <w:t>ь</w:t>
      </w:r>
      <w:r w:rsidRPr="00916DF6">
        <w:rPr>
          <w:rFonts w:cs="Times New Roman"/>
          <w:szCs w:val="28"/>
          <w:lang w:val="ru-RU"/>
        </w:rPr>
        <w:t xml:space="preserve">скому хозяйству Швеции и другие государственные органы страны, которые контролируют перемещение товаров как внутри ЕС, так и за его пределы. </w:t>
      </w:r>
      <w:proofErr w:type="gramStart"/>
      <w:r w:rsidRPr="00916DF6">
        <w:rPr>
          <w:rFonts w:cs="Times New Roman"/>
          <w:szCs w:val="28"/>
          <w:lang w:val="ru-RU"/>
        </w:rPr>
        <w:t>Необходимо отметить, что после образования ЕС шведский механизм «ед</w:t>
      </w:r>
      <w:r w:rsidRPr="00916DF6">
        <w:rPr>
          <w:rFonts w:cs="Times New Roman"/>
          <w:szCs w:val="28"/>
          <w:lang w:val="ru-RU"/>
        </w:rPr>
        <w:t>и</w:t>
      </w:r>
      <w:r w:rsidRPr="00916DF6">
        <w:rPr>
          <w:rFonts w:cs="Times New Roman"/>
          <w:szCs w:val="28"/>
          <w:lang w:val="ru-RU"/>
        </w:rPr>
        <w:t xml:space="preserve">ного окна» был взят за основу остальными странами ЕС и сегодня механизм «единого окна» в Европе </w:t>
      </w:r>
      <w:r w:rsidRPr="00916DF6">
        <w:rPr>
          <w:lang w:val="ru-RU"/>
        </w:rPr>
        <w:t>—</w:t>
      </w:r>
      <w:r w:rsidRPr="00916DF6">
        <w:rPr>
          <w:rFonts w:cs="Times New Roman"/>
          <w:szCs w:val="28"/>
          <w:lang w:val="ru-RU"/>
        </w:rPr>
        <w:t xml:space="preserve"> это полноценная информационная система, к</w:t>
      </w:r>
      <w:r w:rsidRPr="00916DF6">
        <w:rPr>
          <w:rFonts w:cs="Times New Roman"/>
          <w:szCs w:val="28"/>
          <w:lang w:val="ru-RU"/>
        </w:rPr>
        <w:t>о</w:t>
      </w:r>
      <w:r w:rsidRPr="00916DF6">
        <w:rPr>
          <w:rFonts w:cs="Times New Roman"/>
          <w:szCs w:val="28"/>
          <w:lang w:val="ru-RU"/>
        </w:rPr>
        <w:t xml:space="preserve">торая позволяет связать воедино участников ВЭД, таможенные органы, иные государственные органы, финансовые организации и т.д., что позволяет в кротчайшие сроки выпускать </w:t>
      </w:r>
      <w:proofErr w:type="spellStart"/>
      <w:r w:rsidRPr="00916DF6">
        <w:rPr>
          <w:rFonts w:cs="Times New Roman"/>
          <w:szCs w:val="28"/>
          <w:lang w:val="ru-RU"/>
        </w:rPr>
        <w:t>безрисковые</w:t>
      </w:r>
      <w:proofErr w:type="spellEnd"/>
      <w:r w:rsidRPr="00916DF6">
        <w:rPr>
          <w:rFonts w:cs="Times New Roman"/>
          <w:szCs w:val="28"/>
          <w:lang w:val="ru-RU"/>
        </w:rPr>
        <w:t xml:space="preserve"> или </w:t>
      </w:r>
      <w:proofErr w:type="spellStart"/>
      <w:r w:rsidRPr="00916DF6">
        <w:rPr>
          <w:rFonts w:cs="Times New Roman"/>
          <w:szCs w:val="28"/>
          <w:lang w:val="ru-RU"/>
        </w:rPr>
        <w:t>среднерисковые</w:t>
      </w:r>
      <w:proofErr w:type="spellEnd"/>
      <w:r w:rsidRPr="00916DF6">
        <w:rPr>
          <w:rFonts w:cs="Times New Roman"/>
          <w:szCs w:val="28"/>
          <w:lang w:val="ru-RU"/>
        </w:rPr>
        <w:t xml:space="preserve"> товары и обеспечить принцип непрерывности государственного контроля</w:t>
      </w:r>
      <w:proofErr w:type="gramEnd"/>
      <w:r w:rsidRPr="00916DF6">
        <w:rPr>
          <w:rFonts w:cs="Times New Roman"/>
          <w:szCs w:val="28"/>
          <w:lang w:val="ru-RU"/>
        </w:rPr>
        <w:t xml:space="preserve"> за перем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>щением товаров через таможенную границу ЕС.</w:t>
      </w:r>
    </w:p>
    <w:p w:rsidR="00916DF6" w:rsidRPr="00916DF6" w:rsidRDefault="00916DF6" w:rsidP="00B83C79">
      <w:pPr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Основной особенностью применения механизма «единого окна» в ЕС является то, что в некоторых морских портах ЕС, например, в порту Гамбу</w:t>
      </w:r>
      <w:r w:rsidRPr="00916DF6">
        <w:rPr>
          <w:rFonts w:cs="Times New Roman"/>
          <w:szCs w:val="28"/>
          <w:lang w:val="ru-RU"/>
        </w:rPr>
        <w:t>р</w:t>
      </w:r>
      <w:r w:rsidRPr="00916DF6">
        <w:rPr>
          <w:rFonts w:cs="Times New Roman"/>
          <w:szCs w:val="28"/>
          <w:lang w:val="ru-RU"/>
        </w:rPr>
        <w:t>га используется автономная информационная подсистема, которая реализует принцип механизма «единого окна» при предварительном информировании таможенных органов при прибытии товаров на таможенную территорию ЕС. Все участники ВЭД и другие компании, которые участвуют в транспорт</w:t>
      </w:r>
      <w:r w:rsidRPr="00916DF6">
        <w:rPr>
          <w:rFonts w:cs="Times New Roman"/>
          <w:szCs w:val="28"/>
          <w:lang w:val="ru-RU"/>
        </w:rPr>
        <w:t>и</w:t>
      </w:r>
      <w:r w:rsidRPr="00916DF6">
        <w:rPr>
          <w:rFonts w:cs="Times New Roman"/>
          <w:szCs w:val="28"/>
          <w:lang w:val="ru-RU"/>
        </w:rPr>
        <w:t xml:space="preserve">ровке товаров в международном сообщении морским видом транспорта через порт Гамбурга, имеют возможность управлять транспортными процессами быстро с электронной поддержкой через электронное приложение </w:t>
      </w:r>
      <w:r>
        <w:rPr>
          <w:rFonts w:cs="Times New Roman"/>
          <w:szCs w:val="28"/>
        </w:rPr>
        <w:t>DAKOSY</w:t>
      </w:r>
      <w:r w:rsidRPr="00916DF6">
        <w:rPr>
          <w:rFonts w:cs="Times New Roman"/>
          <w:szCs w:val="28"/>
          <w:lang w:val="ru-RU"/>
        </w:rPr>
        <w:t xml:space="preserve">. С помощью программного продукта </w:t>
      </w:r>
      <w:r>
        <w:rPr>
          <w:rFonts w:cs="Times New Roman"/>
          <w:szCs w:val="28"/>
        </w:rPr>
        <w:t>DAKOSY</w:t>
      </w:r>
      <w:r w:rsidRPr="00916DF6">
        <w:rPr>
          <w:rFonts w:cs="Times New Roman"/>
          <w:szCs w:val="28"/>
          <w:lang w:val="ru-RU"/>
        </w:rPr>
        <w:t xml:space="preserve"> предварительная информация о товарах, которые прибывают в порт Гамбурга, формируется в полноценную таможенную декларацию, то есть, декларанту не нужно дублировать свед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>ния из предварительного уведомления о прибытии товаров в таможенной д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>кларации. Более того, у всех уполномоченных немецких государственных о</w:t>
      </w:r>
      <w:r w:rsidRPr="00916DF6">
        <w:rPr>
          <w:rFonts w:cs="Times New Roman"/>
          <w:szCs w:val="28"/>
          <w:lang w:val="ru-RU"/>
        </w:rPr>
        <w:t>р</w:t>
      </w:r>
      <w:r w:rsidRPr="00916DF6">
        <w:rPr>
          <w:rFonts w:cs="Times New Roman"/>
          <w:szCs w:val="28"/>
          <w:lang w:val="ru-RU"/>
        </w:rPr>
        <w:t xml:space="preserve">ганов имеется доступ к информационному продукту </w:t>
      </w:r>
      <w:r>
        <w:rPr>
          <w:rFonts w:cs="Times New Roman"/>
          <w:szCs w:val="28"/>
        </w:rPr>
        <w:t>DAKOSY</w:t>
      </w:r>
      <w:r w:rsidRPr="00916DF6">
        <w:rPr>
          <w:rFonts w:cs="Times New Roman"/>
          <w:szCs w:val="28"/>
          <w:lang w:val="ru-RU"/>
        </w:rPr>
        <w:t>, что позволяет минимизировать риски несоблюдения участниками ВЭД таможенно</w:t>
      </w:r>
      <w:r w:rsidR="00F266E4">
        <w:rPr>
          <w:rFonts w:cs="Times New Roman"/>
          <w:szCs w:val="28"/>
          <w:lang w:val="ru-RU"/>
        </w:rPr>
        <w:t>го зак</w:t>
      </w:r>
      <w:r w:rsidR="00F266E4">
        <w:rPr>
          <w:rFonts w:cs="Times New Roman"/>
          <w:szCs w:val="28"/>
          <w:lang w:val="ru-RU"/>
        </w:rPr>
        <w:t>о</w:t>
      </w:r>
      <w:r w:rsidR="00F266E4">
        <w:rPr>
          <w:rFonts w:cs="Times New Roman"/>
          <w:szCs w:val="28"/>
          <w:lang w:val="ru-RU"/>
        </w:rPr>
        <w:t>нодательства ЕС (рис. 1</w:t>
      </w:r>
      <w:r w:rsidRPr="00916DF6">
        <w:rPr>
          <w:rFonts w:cs="Times New Roman"/>
          <w:szCs w:val="28"/>
          <w:lang w:val="ru-RU"/>
        </w:rPr>
        <w:t>)</w:t>
      </w:r>
      <w:r w:rsidR="00A6772A" w:rsidRPr="00E67A84">
        <w:rPr>
          <w:rFonts w:cs="Times New Roman"/>
          <w:szCs w:val="28"/>
          <w:lang w:val="ru-RU"/>
        </w:rPr>
        <w:t xml:space="preserve"> [1]</w:t>
      </w:r>
      <w:r w:rsidRPr="00916DF6">
        <w:rPr>
          <w:rFonts w:cs="Times New Roman"/>
          <w:szCs w:val="28"/>
          <w:lang w:val="ru-RU"/>
        </w:rPr>
        <w:t>.</w:t>
      </w:r>
    </w:p>
    <w:p w:rsidR="00916DF6" w:rsidRPr="00971A1B" w:rsidRDefault="00916DF6" w:rsidP="00B83C79">
      <w:pPr>
        <w:spacing w:after="0"/>
        <w:ind w:firstLine="0"/>
        <w:contextualSpacing/>
        <w:rPr>
          <w:rFonts w:cs="Times New Roman"/>
          <w:szCs w:val="28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79ACF6F3" wp14:editId="7B8AB572">
            <wp:extent cx="6088380" cy="2148840"/>
            <wp:effectExtent l="19050" t="19050" r="7620" b="381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6083" t="36335" r="18763" b="9368"/>
                    <a:stretch/>
                  </pic:blipFill>
                  <pic:spPr bwMode="auto">
                    <a:xfrm>
                      <a:off x="0" y="0"/>
                      <a:ext cx="6147478" cy="21696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DF6" w:rsidRPr="00916DF6" w:rsidRDefault="00F266E4" w:rsidP="00B83C79">
      <w:pPr>
        <w:spacing w:after="0" w:line="240" w:lineRule="auto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Рис. 1</w:t>
      </w:r>
      <w:r w:rsidR="00916DF6" w:rsidRPr="00916DF6">
        <w:rPr>
          <w:rFonts w:cs="Times New Roman"/>
          <w:szCs w:val="28"/>
          <w:lang w:val="ru-RU"/>
        </w:rPr>
        <w:t xml:space="preserve">. Алгоритм работы программного продукта </w:t>
      </w:r>
      <w:r w:rsidR="00916DF6">
        <w:rPr>
          <w:rFonts w:cs="Times New Roman"/>
          <w:szCs w:val="28"/>
        </w:rPr>
        <w:t>DAKOSY</w:t>
      </w:r>
      <w:r w:rsidR="00916DF6" w:rsidRPr="00916DF6">
        <w:rPr>
          <w:rFonts w:cs="Times New Roman"/>
          <w:szCs w:val="28"/>
          <w:lang w:val="ru-RU"/>
        </w:rPr>
        <w:t xml:space="preserve"> </w:t>
      </w:r>
    </w:p>
    <w:p w:rsidR="00916DF6" w:rsidRPr="00916DF6" w:rsidRDefault="00916DF6" w:rsidP="00B83C79">
      <w:pPr>
        <w:spacing w:after="0"/>
        <w:contextualSpacing/>
        <w:jc w:val="center"/>
        <w:rPr>
          <w:rFonts w:cs="Times New Roman"/>
          <w:szCs w:val="28"/>
          <w:lang w:val="ru-RU"/>
        </w:rPr>
      </w:pP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Необходимо отметить, что предварительная информация через мех</w:t>
      </w:r>
      <w:r w:rsidRPr="00916DF6">
        <w:rPr>
          <w:rFonts w:cs="Times New Roman"/>
          <w:szCs w:val="28"/>
          <w:lang w:val="ru-RU"/>
        </w:rPr>
        <w:t>а</w:t>
      </w:r>
      <w:r w:rsidRPr="00916DF6">
        <w:rPr>
          <w:rFonts w:cs="Times New Roman"/>
          <w:szCs w:val="28"/>
          <w:lang w:val="ru-RU"/>
        </w:rPr>
        <w:t xml:space="preserve">низм «единого окна»  (программный продукт </w:t>
      </w:r>
      <w:r w:rsidRPr="001218DC">
        <w:rPr>
          <w:rFonts w:cs="Times New Roman"/>
          <w:szCs w:val="28"/>
        </w:rPr>
        <w:t>DAKOSY</w:t>
      </w:r>
      <w:r w:rsidRPr="00916DF6">
        <w:rPr>
          <w:rFonts w:cs="Times New Roman"/>
          <w:szCs w:val="28"/>
          <w:lang w:val="ru-RU"/>
        </w:rPr>
        <w:t>) может быть подана участниками ВЭД за 2 недели до прибытия судна в порт, что позволяет суд</w:t>
      </w:r>
      <w:r w:rsidRPr="00916DF6">
        <w:rPr>
          <w:rFonts w:cs="Times New Roman"/>
          <w:szCs w:val="28"/>
          <w:lang w:val="ru-RU"/>
        </w:rPr>
        <w:t>о</w:t>
      </w:r>
      <w:r w:rsidRPr="00916DF6">
        <w:rPr>
          <w:rFonts w:cs="Times New Roman"/>
          <w:szCs w:val="28"/>
          <w:lang w:val="ru-RU"/>
        </w:rPr>
        <w:t xml:space="preserve">вым агентам оперативно получать разрешение на разгрузку каждой партии товара в порту Гамбурга. </w:t>
      </w:r>
    </w:p>
    <w:p w:rsidR="00916DF6" w:rsidRPr="00B064DB" w:rsidRDefault="00916DF6" w:rsidP="00B83C79">
      <w:pPr>
        <w:spacing w:after="0"/>
        <w:ind w:firstLine="709"/>
        <w:contextualSpacing/>
        <w:rPr>
          <w:rFonts w:eastAsia="Times New Roman" w:cs="Times New Roman"/>
          <w:szCs w:val="28"/>
          <w:lang w:val="ru-RU" w:eastAsia="ru-RU"/>
        </w:rPr>
      </w:pPr>
      <w:r w:rsidRPr="00916DF6">
        <w:rPr>
          <w:rFonts w:eastAsia="Times New Roman" w:cs="Times New Roman"/>
          <w:szCs w:val="28"/>
          <w:lang w:val="ru-RU" w:eastAsia="ru-RU"/>
        </w:rPr>
        <w:t>Похожий алгоритм информационного взаимодействия меду таможе</w:t>
      </w:r>
      <w:r w:rsidRPr="00916DF6">
        <w:rPr>
          <w:rFonts w:eastAsia="Times New Roman" w:cs="Times New Roman"/>
          <w:szCs w:val="28"/>
          <w:lang w:val="ru-RU" w:eastAsia="ru-RU"/>
        </w:rPr>
        <w:t>н</w:t>
      </w:r>
      <w:r w:rsidRPr="00916DF6">
        <w:rPr>
          <w:rFonts w:eastAsia="Times New Roman" w:cs="Times New Roman"/>
          <w:szCs w:val="28"/>
          <w:lang w:val="ru-RU" w:eastAsia="ru-RU"/>
        </w:rPr>
        <w:t>ными органами и участниками ВЭД используется в порту Роттердам в Н</w:t>
      </w:r>
      <w:r w:rsidRPr="00916DF6">
        <w:rPr>
          <w:rFonts w:eastAsia="Times New Roman" w:cs="Times New Roman"/>
          <w:szCs w:val="28"/>
          <w:lang w:val="ru-RU" w:eastAsia="ru-RU"/>
        </w:rPr>
        <w:t>и</w:t>
      </w:r>
      <w:r w:rsidRPr="00916DF6">
        <w:rPr>
          <w:rFonts w:eastAsia="Times New Roman" w:cs="Times New Roman"/>
          <w:szCs w:val="28"/>
          <w:lang w:val="ru-RU" w:eastAsia="ru-RU"/>
        </w:rPr>
        <w:t>дерландах, что позволяет оценивать риски несоблюдения участниками ВЭД таможенного законодательства ЕАЭС до прибытия судна в порт, что в знач</w:t>
      </w:r>
      <w:r w:rsidRPr="00916DF6">
        <w:rPr>
          <w:rFonts w:eastAsia="Times New Roman" w:cs="Times New Roman"/>
          <w:szCs w:val="28"/>
          <w:lang w:val="ru-RU" w:eastAsia="ru-RU"/>
        </w:rPr>
        <w:t>и</w:t>
      </w:r>
      <w:r w:rsidRPr="00916DF6">
        <w:rPr>
          <w:rFonts w:eastAsia="Times New Roman" w:cs="Times New Roman"/>
          <w:szCs w:val="28"/>
          <w:lang w:val="ru-RU" w:eastAsia="ru-RU"/>
        </w:rPr>
        <w:t xml:space="preserve">тельной степени сокращает сроки нахождения товаров порту (рис. </w:t>
      </w:r>
      <w:r w:rsidR="0034064E">
        <w:rPr>
          <w:rFonts w:eastAsia="Times New Roman" w:cs="Times New Roman"/>
          <w:szCs w:val="28"/>
          <w:lang w:val="ru-RU" w:eastAsia="ru-RU"/>
        </w:rPr>
        <w:t>2</w:t>
      </w:r>
      <w:r w:rsidRPr="00916DF6">
        <w:rPr>
          <w:rFonts w:eastAsia="Times New Roman" w:cs="Times New Roman"/>
          <w:szCs w:val="28"/>
          <w:lang w:val="ru-RU" w:eastAsia="ru-RU"/>
        </w:rPr>
        <w:t>)</w:t>
      </w:r>
      <w:r w:rsidR="00E67A84" w:rsidRPr="00EC4C70">
        <w:rPr>
          <w:rFonts w:eastAsia="Times New Roman" w:cs="Times New Roman"/>
          <w:szCs w:val="28"/>
          <w:lang w:val="ru-RU" w:eastAsia="ru-RU"/>
        </w:rPr>
        <w:t xml:space="preserve"> [2]</w:t>
      </w:r>
      <w:r w:rsidR="00B064DB">
        <w:rPr>
          <w:rFonts w:eastAsia="Times New Roman" w:cs="Times New Roman"/>
          <w:szCs w:val="28"/>
          <w:lang w:val="ru-RU" w:eastAsia="ru-RU"/>
        </w:rPr>
        <w:t>.</w:t>
      </w:r>
    </w:p>
    <w:p w:rsidR="00916DF6" w:rsidRPr="003D5EEA" w:rsidRDefault="00916DF6" w:rsidP="00B83C79">
      <w:pPr>
        <w:spacing w:after="0"/>
        <w:ind w:firstLine="0"/>
        <w:contextualSpacing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135FC948" wp14:editId="5CB9942A">
            <wp:extent cx="5844540" cy="28803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718" t="28263" r="32692" b="18175"/>
                    <a:stretch/>
                  </pic:blipFill>
                  <pic:spPr bwMode="auto">
                    <a:xfrm>
                      <a:off x="0" y="0"/>
                      <a:ext cx="5844367" cy="288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DCD" w:rsidRDefault="00F266E4" w:rsidP="00B83C79">
      <w:pPr>
        <w:spacing w:after="0" w:line="240" w:lineRule="auto"/>
        <w:ind w:firstLine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Рис. 2</w:t>
      </w:r>
      <w:r w:rsidR="00916DF6" w:rsidRPr="00916DF6">
        <w:rPr>
          <w:rFonts w:cs="Times New Roman"/>
          <w:szCs w:val="28"/>
          <w:lang w:val="ru-RU"/>
        </w:rPr>
        <w:t xml:space="preserve">. Система предварительного анализа </w:t>
      </w:r>
    </w:p>
    <w:p w:rsidR="00916DF6" w:rsidRPr="00916DF6" w:rsidRDefault="00916DF6" w:rsidP="00836DCD">
      <w:pPr>
        <w:spacing w:after="0" w:line="240" w:lineRule="auto"/>
        <w:ind w:firstLine="0"/>
        <w:contextualSpacing/>
        <w:jc w:val="center"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рисков в порту Роттердам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lastRenderedPageBreak/>
        <w:t xml:space="preserve">Как видно из рисунка </w:t>
      </w:r>
      <w:r w:rsidR="0034064E">
        <w:rPr>
          <w:rFonts w:cs="Times New Roman"/>
          <w:szCs w:val="28"/>
          <w:lang w:val="ru-RU"/>
        </w:rPr>
        <w:t>2</w:t>
      </w:r>
      <w:r w:rsidRPr="00916DF6">
        <w:rPr>
          <w:rFonts w:cs="Times New Roman"/>
          <w:szCs w:val="28"/>
          <w:lang w:val="ru-RU"/>
        </w:rPr>
        <w:t>, по результатам анализа информации о товарах ЕАИС таможенных органов Нидерландов может присвоить товару риск-категорию до его фактического прибытия в порт и назначить оптимальную форму таможенного контроля. Необходимо отметить, что таможенные орг</w:t>
      </w:r>
      <w:r w:rsidRPr="00916DF6">
        <w:rPr>
          <w:rFonts w:cs="Times New Roman"/>
          <w:szCs w:val="28"/>
          <w:lang w:val="ru-RU"/>
        </w:rPr>
        <w:t>а</w:t>
      </w:r>
      <w:r w:rsidRPr="00916DF6">
        <w:rPr>
          <w:rFonts w:cs="Times New Roman"/>
          <w:szCs w:val="28"/>
          <w:lang w:val="ru-RU"/>
        </w:rPr>
        <w:t xml:space="preserve">ны Нидерландов при анализе рисков применяют около 70 профилей риска, что позволяет повышать эффективность информационного взаимодействия между таможенными органами и участниками ВЭД. 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В Южной Корее автоматизация информационного взаимодействия между таможенными органами и участниками ВЭД была начата в 1992 году. Разработка и внедрение в деятельность корейских таможенных органов м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 xml:space="preserve">ханизма «единого окна» началась в 1995 путем создания информационной системы </w:t>
      </w:r>
      <w:r>
        <w:rPr>
          <w:rFonts w:cs="Times New Roman"/>
          <w:szCs w:val="28"/>
        </w:rPr>
        <w:t>UNI</w:t>
      </w:r>
      <w:r w:rsidRPr="00916DF6">
        <w:rPr>
          <w:rFonts w:cs="Times New Roman"/>
          <w:szCs w:val="28"/>
          <w:lang w:val="ru-RU"/>
        </w:rPr>
        <w:t>-</w:t>
      </w:r>
      <w:r>
        <w:rPr>
          <w:rFonts w:cs="Times New Roman"/>
          <w:szCs w:val="28"/>
        </w:rPr>
        <w:t>PASS</w:t>
      </w:r>
      <w:r w:rsidRPr="00916DF6">
        <w:rPr>
          <w:rFonts w:cs="Times New Roman"/>
          <w:szCs w:val="28"/>
          <w:lang w:val="ru-RU"/>
        </w:rPr>
        <w:t>, пользователями которой в 2019 году стало более 110</w:t>
      </w:r>
      <w:r>
        <w:rPr>
          <w:rFonts w:cs="Times New Roman"/>
          <w:szCs w:val="28"/>
        </w:rPr>
        <w:t> </w:t>
      </w:r>
      <w:r w:rsidRPr="00916DF6">
        <w:rPr>
          <w:rFonts w:cs="Times New Roman"/>
          <w:szCs w:val="28"/>
          <w:lang w:val="ru-RU"/>
        </w:rPr>
        <w:t xml:space="preserve">000 корейских участников ВЭД. Информационная система </w:t>
      </w:r>
      <w:r>
        <w:rPr>
          <w:rFonts w:cs="Times New Roman"/>
          <w:szCs w:val="28"/>
        </w:rPr>
        <w:t>UNI</w:t>
      </w:r>
      <w:r w:rsidRPr="00916DF6">
        <w:rPr>
          <w:rFonts w:cs="Times New Roman"/>
          <w:szCs w:val="28"/>
          <w:lang w:val="ru-RU"/>
        </w:rPr>
        <w:t>-</w:t>
      </w:r>
      <w:r>
        <w:rPr>
          <w:rFonts w:cs="Times New Roman"/>
          <w:szCs w:val="28"/>
        </w:rPr>
        <w:t>PASS</w:t>
      </w:r>
      <w:r w:rsidRPr="00916DF6">
        <w:rPr>
          <w:rFonts w:cs="Times New Roman"/>
          <w:szCs w:val="28"/>
          <w:lang w:val="ru-RU"/>
        </w:rPr>
        <w:t xml:space="preserve"> позволяет корейским участникам ВЭД использовать технологию однократности пре</w:t>
      </w:r>
      <w:r w:rsidRPr="00916DF6">
        <w:rPr>
          <w:rFonts w:cs="Times New Roman"/>
          <w:szCs w:val="28"/>
          <w:lang w:val="ru-RU"/>
        </w:rPr>
        <w:t>д</w:t>
      </w:r>
      <w:r w:rsidRPr="00916DF6">
        <w:rPr>
          <w:rFonts w:cs="Times New Roman"/>
          <w:szCs w:val="28"/>
          <w:lang w:val="ru-RU"/>
        </w:rPr>
        <w:t>ставления сведений в уполномоченные корейские государственные органы при применении предварительного информирования, что позволяет выпу</w:t>
      </w:r>
      <w:r w:rsidRPr="00916DF6">
        <w:rPr>
          <w:rFonts w:cs="Times New Roman"/>
          <w:szCs w:val="28"/>
          <w:lang w:val="ru-RU"/>
        </w:rPr>
        <w:t>с</w:t>
      </w:r>
      <w:r w:rsidRPr="00916DF6">
        <w:rPr>
          <w:rFonts w:cs="Times New Roman"/>
          <w:szCs w:val="28"/>
          <w:lang w:val="ru-RU"/>
        </w:rPr>
        <w:t>кать основное количество товаров в автоматическом режиме.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 xml:space="preserve">В информационной системе </w:t>
      </w:r>
      <w:r>
        <w:rPr>
          <w:rFonts w:cs="Times New Roman"/>
          <w:szCs w:val="28"/>
        </w:rPr>
        <w:t>UNI</w:t>
      </w:r>
      <w:r w:rsidRPr="00916DF6">
        <w:rPr>
          <w:rFonts w:cs="Times New Roman"/>
          <w:szCs w:val="28"/>
          <w:lang w:val="ru-RU"/>
        </w:rPr>
        <w:t>-</w:t>
      </w:r>
      <w:r>
        <w:rPr>
          <w:rFonts w:cs="Times New Roman"/>
          <w:szCs w:val="28"/>
        </w:rPr>
        <w:t>PASS</w:t>
      </w:r>
      <w:r w:rsidRPr="00916DF6">
        <w:rPr>
          <w:rFonts w:cs="Times New Roman"/>
          <w:szCs w:val="28"/>
          <w:lang w:val="ru-RU"/>
        </w:rPr>
        <w:t xml:space="preserve"> применяется единая система оценки рисков несоблюдения участниками ВЭД таможенного законодател</w:t>
      </w:r>
      <w:r w:rsidRPr="00916DF6">
        <w:rPr>
          <w:rFonts w:cs="Times New Roman"/>
          <w:szCs w:val="28"/>
          <w:lang w:val="ru-RU"/>
        </w:rPr>
        <w:t>ь</w:t>
      </w:r>
      <w:r w:rsidRPr="00916DF6">
        <w:rPr>
          <w:rFonts w:cs="Times New Roman"/>
          <w:szCs w:val="28"/>
          <w:lang w:val="ru-RU"/>
        </w:rPr>
        <w:t>ства Южной Кореи, что не только минимизирует сроки проведения таможе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 xml:space="preserve">ного контроля товаров, но и обеспечивает высокий уровень экономической безопасности страны. Предполагается, что к концу 2025 года </w:t>
      </w:r>
      <w:r>
        <w:rPr>
          <w:rFonts w:cs="Times New Roman"/>
          <w:szCs w:val="28"/>
        </w:rPr>
        <w:t>UNI</w:t>
      </w:r>
      <w:r w:rsidRPr="00916DF6">
        <w:rPr>
          <w:rFonts w:cs="Times New Roman"/>
          <w:szCs w:val="28"/>
          <w:lang w:val="ru-RU"/>
        </w:rPr>
        <w:t>-</w:t>
      </w:r>
      <w:r>
        <w:rPr>
          <w:rFonts w:cs="Times New Roman"/>
          <w:szCs w:val="28"/>
        </w:rPr>
        <w:t>PASS</w:t>
      </w:r>
      <w:r w:rsidRPr="00916DF6">
        <w:rPr>
          <w:rFonts w:cs="Times New Roman"/>
          <w:szCs w:val="28"/>
          <w:lang w:val="ru-RU"/>
        </w:rPr>
        <w:t xml:space="preserve"> сможет взаимодействовать с автоматизированными таможенными системами других азиатских стран, что позволит беспрепятственно перемещать товары добросовестным участникам ВЭД внутри азиатских стран</w:t>
      </w:r>
      <w:r w:rsidR="00EC4C70" w:rsidRPr="00EC4C70">
        <w:rPr>
          <w:rFonts w:cs="Times New Roman"/>
          <w:szCs w:val="28"/>
          <w:lang w:val="ru-RU"/>
        </w:rPr>
        <w:t xml:space="preserve"> [1]</w:t>
      </w:r>
      <w:r w:rsidRPr="00916DF6">
        <w:rPr>
          <w:rFonts w:cs="Times New Roman"/>
          <w:szCs w:val="28"/>
          <w:lang w:val="ru-RU"/>
        </w:rPr>
        <w:t>.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Как известно, в международной практике решения проблемы таможе</w:t>
      </w:r>
      <w:r w:rsidRPr="00916DF6">
        <w:rPr>
          <w:lang w:val="ru-RU"/>
        </w:rPr>
        <w:t>н</w:t>
      </w:r>
      <w:r w:rsidRPr="00916DF6">
        <w:rPr>
          <w:lang w:val="ru-RU"/>
        </w:rPr>
        <w:t>ного администрирования в условиях реализации парадигмы современной экономики, ключевым вопросом является развитие института цифровой т</w:t>
      </w:r>
      <w:r w:rsidRPr="00916DF6">
        <w:rPr>
          <w:lang w:val="ru-RU"/>
        </w:rPr>
        <w:t>а</w:t>
      </w:r>
      <w:r w:rsidRPr="00916DF6">
        <w:rPr>
          <w:lang w:val="ru-RU"/>
        </w:rPr>
        <w:t xml:space="preserve">можни. Во </w:t>
      </w:r>
      <w:proofErr w:type="spellStart"/>
      <w:r w:rsidRPr="00916DF6">
        <w:rPr>
          <w:lang w:val="ru-RU"/>
        </w:rPr>
        <w:t>ВТамО</w:t>
      </w:r>
      <w:proofErr w:type="spellEnd"/>
      <w:r w:rsidRPr="00916DF6">
        <w:rPr>
          <w:lang w:val="ru-RU"/>
        </w:rPr>
        <w:t xml:space="preserve"> проблематика формирования института цифровой тамо</w:t>
      </w:r>
      <w:r w:rsidRPr="00916DF6">
        <w:rPr>
          <w:lang w:val="ru-RU"/>
        </w:rPr>
        <w:t>ж</w:t>
      </w:r>
      <w:r w:rsidRPr="00916DF6">
        <w:rPr>
          <w:lang w:val="ru-RU"/>
        </w:rPr>
        <w:t>ни представлена тремя блоками: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lastRenderedPageBreak/>
        <w:sym w:font="Symbol" w:char="F02D"/>
      </w:r>
      <w:r w:rsidRPr="00916DF6">
        <w:rPr>
          <w:lang w:val="ru-RU"/>
        </w:rPr>
        <w:t xml:space="preserve"> концепция института цифровой таможни;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модель зрелости цифровой таможни;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план работы по цифровой таможне.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Рассмотрим подробнее основные элементы Модели зрелости</w:t>
      </w:r>
      <w:r w:rsidR="00F266E4">
        <w:rPr>
          <w:lang w:val="ru-RU"/>
        </w:rPr>
        <w:t xml:space="preserve"> цифровой таможни </w:t>
      </w:r>
      <w:proofErr w:type="spellStart"/>
      <w:r w:rsidR="00F266E4">
        <w:rPr>
          <w:lang w:val="ru-RU"/>
        </w:rPr>
        <w:t>ВТамО</w:t>
      </w:r>
      <w:proofErr w:type="spellEnd"/>
      <w:r w:rsidR="00F266E4">
        <w:rPr>
          <w:lang w:val="ru-RU"/>
        </w:rPr>
        <w:t xml:space="preserve"> (рис.</w:t>
      </w:r>
      <w:r w:rsidR="0034064E">
        <w:rPr>
          <w:lang w:val="ru-RU"/>
        </w:rPr>
        <w:t>3</w:t>
      </w:r>
      <w:r w:rsidRPr="00916DF6">
        <w:rPr>
          <w:lang w:val="ru-RU"/>
        </w:rPr>
        <w:t>)</w:t>
      </w:r>
      <w:r w:rsidR="00B83C79">
        <w:rPr>
          <w:lang w:val="ru-RU"/>
        </w:rPr>
        <w:t xml:space="preserve"> </w:t>
      </w:r>
      <w:r w:rsidR="00095529" w:rsidRPr="00095529">
        <w:rPr>
          <w:lang w:val="ru-RU"/>
        </w:rPr>
        <w:t>[3]</w:t>
      </w:r>
      <w:r w:rsidRPr="00916DF6">
        <w:rPr>
          <w:lang w:val="ru-RU"/>
        </w:rPr>
        <w:t xml:space="preserve">. </w:t>
      </w:r>
    </w:p>
    <w:p w:rsidR="00916DF6" w:rsidRDefault="00916DF6" w:rsidP="00B83C79">
      <w:pPr>
        <w:spacing w:after="0"/>
        <w:contextualSpacing/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5675F443" wp14:editId="0628827D">
            <wp:extent cx="5498784" cy="35780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266" t="15941" r="15193" b="13656"/>
                    <a:stretch/>
                  </pic:blipFill>
                  <pic:spPr bwMode="auto">
                    <a:xfrm>
                      <a:off x="0" y="0"/>
                      <a:ext cx="5512841" cy="3587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DF6" w:rsidRPr="00916DF6" w:rsidRDefault="00F266E4" w:rsidP="00B83C79">
      <w:pPr>
        <w:spacing w:after="0" w:line="240" w:lineRule="auto"/>
        <w:contextualSpacing/>
        <w:jc w:val="center"/>
        <w:rPr>
          <w:lang w:val="ru-RU"/>
        </w:rPr>
      </w:pPr>
      <w:r>
        <w:rPr>
          <w:lang w:val="ru-RU"/>
        </w:rPr>
        <w:t>Рис.</w:t>
      </w:r>
      <w:r w:rsidR="0034064E">
        <w:rPr>
          <w:lang w:val="ru-RU"/>
        </w:rPr>
        <w:t>3</w:t>
      </w:r>
      <w:r>
        <w:rPr>
          <w:lang w:val="ru-RU"/>
        </w:rPr>
        <w:t xml:space="preserve">. </w:t>
      </w:r>
      <w:r w:rsidR="00916DF6" w:rsidRPr="00916DF6">
        <w:rPr>
          <w:lang w:val="ru-RU"/>
        </w:rPr>
        <w:t xml:space="preserve">Модель зрелости цифровой таможни </w:t>
      </w:r>
      <w:proofErr w:type="spellStart"/>
      <w:r w:rsidR="00916DF6" w:rsidRPr="00916DF6">
        <w:rPr>
          <w:lang w:val="ru-RU"/>
        </w:rPr>
        <w:t>ВТамО</w:t>
      </w:r>
      <w:proofErr w:type="spellEnd"/>
    </w:p>
    <w:p w:rsidR="00916DF6" w:rsidRPr="00916DF6" w:rsidRDefault="00916DF6" w:rsidP="00B83C79">
      <w:pPr>
        <w:spacing w:after="0"/>
        <w:contextualSpacing/>
        <w:jc w:val="center"/>
        <w:rPr>
          <w:lang w:val="ru-RU"/>
        </w:rPr>
      </w:pP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Так, ось ординат модели называется «видение» и разделена на три эл</w:t>
      </w:r>
      <w:r w:rsidRPr="00916DF6">
        <w:rPr>
          <w:lang w:val="ru-RU"/>
        </w:rPr>
        <w:t>е</w:t>
      </w:r>
      <w:r w:rsidRPr="00916DF6">
        <w:rPr>
          <w:lang w:val="ru-RU"/>
        </w:rPr>
        <w:t>мента: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«умное» таможенное декларирование и контроль; </w:t>
      </w:r>
    </w:p>
    <w:p w:rsidR="00916DF6" w:rsidRPr="00351B79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351B79">
        <w:rPr>
          <w:lang w:val="ru-RU"/>
        </w:rPr>
        <w:t xml:space="preserve"> эффективный риск-менеджмент;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эффективный контроль.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Ось абсцисс именуется «зрелость» и состоит из четырех элементов: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цифровой стратегии;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правовой основы;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структуры управления;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916DF6">
        <w:rPr>
          <w:color w:val="FFFFFF" w:themeColor="background1"/>
          <w:lang w:val="ru-RU"/>
        </w:rPr>
        <w:t>.</w:t>
      </w:r>
      <w:r w:rsidRPr="00916DF6">
        <w:rPr>
          <w:lang w:val="ru-RU"/>
        </w:rPr>
        <w:t>информационно-коммуникационной</w:t>
      </w:r>
      <w:r w:rsidR="00B064DB">
        <w:rPr>
          <w:lang w:val="ru-RU"/>
        </w:rPr>
        <w:tab/>
        <w:t xml:space="preserve">технологической </w:t>
      </w:r>
      <w:r w:rsidRPr="00916DF6">
        <w:rPr>
          <w:lang w:val="ru-RU"/>
        </w:rPr>
        <w:t>инфрастру</w:t>
      </w:r>
      <w:r w:rsidRPr="00916DF6">
        <w:rPr>
          <w:lang w:val="ru-RU"/>
        </w:rPr>
        <w:t>к</w:t>
      </w:r>
      <w:r w:rsidRPr="00916DF6">
        <w:rPr>
          <w:lang w:val="ru-RU"/>
        </w:rPr>
        <w:t>ту</w:t>
      </w:r>
      <w:r>
        <w:rPr>
          <w:lang w:val="ru-RU"/>
        </w:rPr>
        <w:t>ры.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lastRenderedPageBreak/>
        <w:t>В модели зрелости отсутствует указание на уровни зрелости, развития, движения Модели (например, уровень 1, уровень 2, уровень 3 и т. д.). В то же время, исходя из рисунка Модели, можно предположить, что такими уровн</w:t>
      </w:r>
      <w:r w:rsidRPr="00916DF6">
        <w:rPr>
          <w:lang w:val="ru-RU"/>
        </w:rPr>
        <w:t>я</w:t>
      </w:r>
      <w:r w:rsidRPr="00916DF6">
        <w:rPr>
          <w:lang w:val="ru-RU"/>
        </w:rPr>
        <w:t xml:space="preserve">ми (зрелости) являются: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инициировать;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реализовать;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закрепить;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вовлечь;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укрепить; </w:t>
      </w:r>
    </w:p>
    <w:p w:rsidR="00916DF6" w:rsidRPr="00B064DB" w:rsidRDefault="00916DF6" w:rsidP="00B83C79">
      <w:pPr>
        <w:spacing w:after="0"/>
        <w:ind w:firstLine="709"/>
        <w:contextualSpacing/>
        <w:rPr>
          <w:lang w:val="ru-RU"/>
        </w:rPr>
      </w:pPr>
      <w:r>
        <w:rPr>
          <w:rFonts w:cs="Times New Roman"/>
          <w:szCs w:val="28"/>
        </w:rPr>
        <w:sym w:font="Symbol" w:char="F02D"/>
      </w:r>
      <w:r w:rsidRPr="00B064DB">
        <w:rPr>
          <w:lang w:val="ru-RU"/>
        </w:rPr>
        <w:t xml:space="preserve"> начать.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Отсутствие легенды или пояснений для каждого из элементов модели затрудняет их толкование, но большинство терминов, представленных в м</w:t>
      </w:r>
      <w:r w:rsidRPr="00916DF6">
        <w:rPr>
          <w:lang w:val="ru-RU"/>
        </w:rPr>
        <w:t>о</w:t>
      </w:r>
      <w:r w:rsidRPr="00916DF6">
        <w:rPr>
          <w:lang w:val="ru-RU"/>
        </w:rPr>
        <w:t xml:space="preserve">дели, задействованы в практике таможенного администрирования государств – членов </w:t>
      </w:r>
      <w:proofErr w:type="spellStart"/>
      <w:r w:rsidRPr="00916DF6">
        <w:rPr>
          <w:lang w:val="ru-RU"/>
        </w:rPr>
        <w:t>ВТамО</w:t>
      </w:r>
      <w:proofErr w:type="spellEnd"/>
      <w:r w:rsidR="00CC3C8F" w:rsidRPr="00CC3C8F">
        <w:rPr>
          <w:lang w:val="ru-RU"/>
        </w:rPr>
        <w:t xml:space="preserve"> [3]</w:t>
      </w:r>
      <w:r w:rsidRPr="00916DF6">
        <w:rPr>
          <w:lang w:val="ru-RU"/>
        </w:rPr>
        <w:t xml:space="preserve">.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Практический опыт реализации цифровой модели таможенного рег</w:t>
      </w:r>
      <w:r w:rsidRPr="00916DF6">
        <w:rPr>
          <w:lang w:val="ru-RU"/>
        </w:rPr>
        <w:t>у</w:t>
      </w:r>
      <w:r w:rsidRPr="00916DF6">
        <w:rPr>
          <w:lang w:val="ru-RU"/>
        </w:rPr>
        <w:t>лирования накоплен во многих странах. У каждой страны есть свои особе</w:t>
      </w:r>
      <w:r w:rsidRPr="00916DF6">
        <w:rPr>
          <w:lang w:val="ru-RU"/>
        </w:rPr>
        <w:t>н</w:t>
      </w:r>
      <w:r w:rsidRPr="00916DF6">
        <w:rPr>
          <w:lang w:val="ru-RU"/>
        </w:rPr>
        <w:t>ности, приоритеты и достижения в реализации комплекса идей, составля</w:t>
      </w:r>
      <w:r w:rsidRPr="00916DF6">
        <w:rPr>
          <w:lang w:val="ru-RU"/>
        </w:rPr>
        <w:t>ю</w:t>
      </w:r>
      <w:r w:rsidRPr="00916DF6">
        <w:rPr>
          <w:lang w:val="ru-RU"/>
        </w:rPr>
        <w:t xml:space="preserve">щих концепцию цифровой таможни. Так, например, Государственный совет Китайской Народной Республики (далее </w:t>
      </w:r>
      <w:r>
        <w:rPr>
          <w:rFonts w:cs="Times New Roman"/>
          <w:szCs w:val="28"/>
        </w:rPr>
        <w:sym w:font="Symbol" w:char="F02D"/>
      </w:r>
      <w:r w:rsidRPr="00916DF6">
        <w:rPr>
          <w:rFonts w:eastAsia="Times New Roman" w:cs="Times New Roman"/>
          <w:szCs w:val="28"/>
          <w:lang w:val="ru-RU"/>
        </w:rPr>
        <w:t xml:space="preserve"> </w:t>
      </w:r>
      <w:r w:rsidRPr="00916DF6">
        <w:rPr>
          <w:lang w:val="ru-RU"/>
        </w:rPr>
        <w:t>КНР) создал Систему межведо</w:t>
      </w:r>
      <w:r w:rsidRPr="00916DF6">
        <w:rPr>
          <w:lang w:val="ru-RU"/>
        </w:rPr>
        <w:t>м</w:t>
      </w:r>
      <w:r w:rsidRPr="00916DF6">
        <w:rPr>
          <w:lang w:val="ru-RU"/>
        </w:rPr>
        <w:t xml:space="preserve">ственного обмена данными, благодаря которой таможенная служба Китая предоставляет информацию об уполномоченных экономических операторах (далее </w:t>
      </w:r>
      <w:r>
        <w:rPr>
          <w:rFonts w:cs="Times New Roman"/>
          <w:szCs w:val="28"/>
        </w:rPr>
        <w:sym w:font="Symbol" w:char="F02D"/>
      </w:r>
      <w:r w:rsidRPr="00916DF6">
        <w:rPr>
          <w:lang w:val="ru-RU"/>
        </w:rPr>
        <w:t xml:space="preserve"> УЭО) и обменивается ей с государственными ведомствами, то есть если УЭО нарушил законодательство, эта информация передается таможе</w:t>
      </w:r>
      <w:r w:rsidRPr="00916DF6">
        <w:rPr>
          <w:lang w:val="ru-RU"/>
        </w:rPr>
        <w:t>н</w:t>
      </w:r>
      <w:r w:rsidRPr="00916DF6">
        <w:rPr>
          <w:lang w:val="ru-RU"/>
        </w:rPr>
        <w:t xml:space="preserve">ной службе Китая и УЭО исключают из реестра. </w:t>
      </w:r>
    </w:p>
    <w:p w:rsidR="00916DF6" w:rsidRPr="00916DF6" w:rsidRDefault="00916DF6" w:rsidP="00B83C79">
      <w:pPr>
        <w:spacing w:after="0"/>
        <w:ind w:firstLine="709"/>
        <w:contextualSpacing/>
        <w:rPr>
          <w:lang w:val="ru-RU"/>
        </w:rPr>
      </w:pPr>
      <w:r w:rsidRPr="00916DF6">
        <w:rPr>
          <w:lang w:val="ru-RU"/>
        </w:rPr>
        <w:t>В настоящее время китайские компании могут подавать заявки на ряд услуг в Интернете, включая регистрацию предприятий, изменение и аннул</w:t>
      </w:r>
      <w:r w:rsidRPr="00916DF6">
        <w:rPr>
          <w:lang w:val="ru-RU"/>
        </w:rPr>
        <w:t>и</w:t>
      </w:r>
      <w:r w:rsidRPr="00916DF6">
        <w:rPr>
          <w:lang w:val="ru-RU"/>
        </w:rPr>
        <w:t>рование информации, а также выдачу сертификатов без регистрации или п</w:t>
      </w:r>
      <w:r w:rsidRPr="00916DF6">
        <w:rPr>
          <w:lang w:val="ru-RU"/>
        </w:rPr>
        <w:t>о</w:t>
      </w:r>
      <w:r w:rsidRPr="00916DF6">
        <w:rPr>
          <w:lang w:val="ru-RU"/>
        </w:rPr>
        <w:t>сещения административных центров или таможни; а через сервисную пла</w:t>
      </w:r>
      <w:r w:rsidRPr="00916DF6">
        <w:rPr>
          <w:lang w:val="ru-RU"/>
        </w:rPr>
        <w:t>т</w:t>
      </w:r>
      <w:r w:rsidRPr="00916DF6">
        <w:rPr>
          <w:lang w:val="ru-RU"/>
        </w:rPr>
        <w:t>форму «Интернет + Таможня» импортеры и экспортеры могут подавать зая</w:t>
      </w:r>
      <w:r w:rsidRPr="00916DF6">
        <w:rPr>
          <w:lang w:val="ru-RU"/>
        </w:rPr>
        <w:t>в</w:t>
      </w:r>
      <w:r w:rsidRPr="00916DF6">
        <w:rPr>
          <w:lang w:val="ru-RU"/>
        </w:rPr>
        <w:lastRenderedPageBreak/>
        <w:t>ки на регистрацию грузополучателя или грузоотправителя, изменение и а</w:t>
      </w:r>
      <w:r w:rsidRPr="00916DF6">
        <w:rPr>
          <w:lang w:val="ru-RU"/>
        </w:rPr>
        <w:t>н</w:t>
      </w:r>
      <w:r w:rsidRPr="00916DF6">
        <w:rPr>
          <w:lang w:val="ru-RU"/>
        </w:rPr>
        <w:t>нулирование информации, отслеживать статус обработки в режиме реального времени и печатать «Свидетельство о регистрации», выданное таможней К</w:t>
      </w:r>
      <w:r w:rsidRPr="00916DF6">
        <w:rPr>
          <w:lang w:val="ru-RU"/>
        </w:rPr>
        <w:t>и</w:t>
      </w:r>
      <w:r w:rsidRPr="00916DF6">
        <w:rPr>
          <w:lang w:val="ru-RU"/>
        </w:rPr>
        <w:t>тая, бесплатно.</w:t>
      </w:r>
    </w:p>
    <w:p w:rsidR="00916DF6" w:rsidRPr="00916DF6" w:rsidRDefault="00916DF6" w:rsidP="00B83C79">
      <w:pPr>
        <w:spacing w:after="0"/>
        <w:ind w:firstLine="709"/>
        <w:contextualSpacing/>
        <w:rPr>
          <w:rFonts w:cs="Times New Roman"/>
          <w:szCs w:val="28"/>
          <w:lang w:val="ru-RU"/>
        </w:rPr>
      </w:pPr>
      <w:r w:rsidRPr="00916DF6">
        <w:rPr>
          <w:rFonts w:cs="Times New Roman"/>
          <w:szCs w:val="28"/>
          <w:lang w:val="ru-RU"/>
        </w:rPr>
        <w:t>Таким образом, международный опыт информационного взаимоде</w:t>
      </w:r>
      <w:r w:rsidRPr="00916DF6">
        <w:rPr>
          <w:rFonts w:cs="Times New Roman"/>
          <w:szCs w:val="28"/>
          <w:lang w:val="ru-RU"/>
        </w:rPr>
        <w:t>й</w:t>
      </w:r>
      <w:r w:rsidRPr="00916DF6">
        <w:rPr>
          <w:rFonts w:cs="Times New Roman"/>
          <w:szCs w:val="28"/>
          <w:lang w:val="ru-RU"/>
        </w:rPr>
        <w:t>ствия таможенных органов и участников ВЭД показал, что в развитых стр</w:t>
      </w:r>
      <w:r w:rsidRPr="00916DF6">
        <w:rPr>
          <w:rFonts w:cs="Times New Roman"/>
          <w:szCs w:val="28"/>
          <w:lang w:val="ru-RU"/>
        </w:rPr>
        <w:t>а</w:t>
      </w:r>
      <w:r w:rsidRPr="00916DF6">
        <w:rPr>
          <w:rFonts w:cs="Times New Roman"/>
          <w:szCs w:val="28"/>
          <w:lang w:val="ru-RU"/>
        </w:rPr>
        <w:t xml:space="preserve">нах основной упор делается на применении обязательного предварительного информирования таможенных органов при прибытии товаров с применением механизма «единого окна», что позволяет выпускать </w:t>
      </w:r>
      <w:proofErr w:type="spellStart"/>
      <w:r w:rsidRPr="00916DF6">
        <w:rPr>
          <w:rFonts w:cs="Times New Roman"/>
          <w:szCs w:val="28"/>
          <w:lang w:val="ru-RU"/>
        </w:rPr>
        <w:t>безрисковые</w:t>
      </w:r>
      <w:proofErr w:type="spellEnd"/>
      <w:r w:rsidRPr="00916DF6">
        <w:rPr>
          <w:rFonts w:cs="Times New Roman"/>
          <w:szCs w:val="28"/>
          <w:lang w:val="ru-RU"/>
        </w:rPr>
        <w:t xml:space="preserve"> и </w:t>
      </w:r>
      <w:proofErr w:type="spellStart"/>
      <w:r w:rsidRPr="00916DF6">
        <w:rPr>
          <w:rFonts w:cs="Times New Roman"/>
          <w:szCs w:val="28"/>
          <w:lang w:val="ru-RU"/>
        </w:rPr>
        <w:t>средн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>рисковые</w:t>
      </w:r>
      <w:proofErr w:type="spellEnd"/>
      <w:r w:rsidRPr="00916DF6">
        <w:rPr>
          <w:rFonts w:cs="Times New Roman"/>
          <w:szCs w:val="28"/>
          <w:lang w:val="ru-RU"/>
        </w:rPr>
        <w:t xml:space="preserve"> товары в автоматическом режиме. Развитие цифровой таможни Китая в настоящее время находит выражение в сокращении сроков таможе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>ного декларирования, обеспечении прямого взаимодействия государстве</w:t>
      </w:r>
      <w:r w:rsidRPr="00916DF6">
        <w:rPr>
          <w:rFonts w:cs="Times New Roman"/>
          <w:szCs w:val="28"/>
          <w:lang w:val="ru-RU"/>
        </w:rPr>
        <w:t>н</w:t>
      </w:r>
      <w:r w:rsidRPr="00916DF6">
        <w:rPr>
          <w:rFonts w:cs="Times New Roman"/>
          <w:szCs w:val="28"/>
          <w:lang w:val="ru-RU"/>
        </w:rPr>
        <w:t>ных органов с участниками ВЭД, возможности внесения корректировок и дополнений в документы и сведения, подаче заявлений и их регистрация в режиме онлайн. Все это иллюстрирует новшества, которые возникают в р</w:t>
      </w:r>
      <w:r w:rsidRPr="00916DF6">
        <w:rPr>
          <w:rFonts w:cs="Times New Roman"/>
          <w:szCs w:val="28"/>
          <w:lang w:val="ru-RU"/>
        </w:rPr>
        <w:t>е</w:t>
      </w:r>
      <w:r w:rsidRPr="00916DF6">
        <w:rPr>
          <w:rFonts w:cs="Times New Roman"/>
          <w:szCs w:val="28"/>
          <w:lang w:val="ru-RU"/>
        </w:rPr>
        <w:t>зультате правительственных реформ, проводимых преимущественно в сфере внешнеторгового и таможенного законодательства. Информационное вза</w:t>
      </w:r>
      <w:r w:rsidRPr="00916DF6">
        <w:rPr>
          <w:rFonts w:cs="Times New Roman"/>
          <w:szCs w:val="28"/>
          <w:lang w:val="ru-RU"/>
        </w:rPr>
        <w:t>и</w:t>
      </w:r>
      <w:r w:rsidRPr="00916DF6">
        <w:rPr>
          <w:rFonts w:cs="Times New Roman"/>
          <w:szCs w:val="28"/>
          <w:lang w:val="ru-RU"/>
        </w:rPr>
        <w:t>модействие таможенных органов и участников ВЭД в развитых странах по</w:t>
      </w:r>
      <w:r w:rsidRPr="00916DF6">
        <w:rPr>
          <w:rFonts w:cs="Times New Roman"/>
          <w:szCs w:val="28"/>
          <w:lang w:val="ru-RU"/>
        </w:rPr>
        <w:t>з</w:t>
      </w:r>
      <w:r w:rsidRPr="00916DF6">
        <w:rPr>
          <w:rFonts w:cs="Times New Roman"/>
          <w:szCs w:val="28"/>
          <w:lang w:val="ru-RU"/>
        </w:rPr>
        <w:t>воляет увеличивать их товарооборот, защищать рынок от потенциально опасных товаров и сокращать материальные издержки добросовестных участников ВЭД.</w:t>
      </w:r>
    </w:p>
    <w:p w:rsidR="00821EFD" w:rsidRDefault="00821EFD" w:rsidP="00B83C79">
      <w:pPr>
        <w:contextualSpacing/>
        <w:rPr>
          <w:lang w:val="ru-RU"/>
        </w:rPr>
      </w:pPr>
    </w:p>
    <w:p w:rsidR="003D5EEA" w:rsidRDefault="003D5EEA" w:rsidP="00B83C79">
      <w:pPr>
        <w:spacing w:after="0"/>
        <w:ind w:firstLine="709"/>
        <w:contextualSpacing/>
        <w:jc w:val="center"/>
        <w:rPr>
          <w:rFonts w:eastAsiaTheme="majorEastAsia" w:cs="Times New Roman"/>
          <w:szCs w:val="32"/>
          <w:lang w:val="ru-RU"/>
        </w:rPr>
      </w:pPr>
    </w:p>
    <w:p w:rsidR="003D5EEA" w:rsidRDefault="003D5EEA" w:rsidP="00B83C79">
      <w:pPr>
        <w:spacing w:after="0"/>
        <w:ind w:firstLine="709"/>
        <w:contextualSpacing/>
        <w:jc w:val="center"/>
        <w:rPr>
          <w:rFonts w:eastAsiaTheme="majorEastAsia" w:cs="Times New Roman"/>
          <w:szCs w:val="32"/>
          <w:lang w:val="ru-RU"/>
        </w:rPr>
      </w:pPr>
    </w:p>
    <w:p w:rsidR="003D5EEA" w:rsidRDefault="003D5EEA" w:rsidP="00B83C79">
      <w:pPr>
        <w:spacing w:after="0"/>
        <w:ind w:firstLine="709"/>
        <w:contextualSpacing/>
        <w:jc w:val="center"/>
        <w:rPr>
          <w:rFonts w:eastAsiaTheme="majorEastAsia" w:cs="Times New Roman"/>
          <w:szCs w:val="32"/>
          <w:lang w:val="ru-RU"/>
        </w:rPr>
      </w:pPr>
    </w:p>
    <w:p w:rsidR="003D5EEA" w:rsidRDefault="003D5EEA" w:rsidP="00B83C79">
      <w:pPr>
        <w:spacing w:after="0"/>
        <w:ind w:firstLine="709"/>
        <w:contextualSpacing/>
        <w:jc w:val="center"/>
        <w:rPr>
          <w:rFonts w:eastAsiaTheme="majorEastAsia" w:cs="Times New Roman"/>
          <w:szCs w:val="32"/>
          <w:lang w:val="ru-RU"/>
        </w:rPr>
      </w:pPr>
    </w:p>
    <w:p w:rsidR="003D5EEA" w:rsidRDefault="003D5EEA" w:rsidP="00B83C79">
      <w:pPr>
        <w:spacing w:after="0"/>
        <w:ind w:firstLine="0"/>
        <w:contextualSpacing/>
        <w:rPr>
          <w:rFonts w:eastAsiaTheme="majorEastAsia" w:cs="Times New Roman"/>
          <w:szCs w:val="32"/>
          <w:lang w:val="ru-RU"/>
        </w:rPr>
      </w:pPr>
    </w:p>
    <w:p w:rsidR="006E617C" w:rsidRDefault="006E617C" w:rsidP="00B83C79">
      <w:pPr>
        <w:spacing w:after="0"/>
        <w:ind w:firstLine="0"/>
        <w:contextualSpacing/>
        <w:rPr>
          <w:rFonts w:eastAsiaTheme="majorEastAsia" w:cs="Times New Roman"/>
          <w:szCs w:val="32"/>
          <w:lang w:val="ru-RU"/>
        </w:rPr>
      </w:pPr>
    </w:p>
    <w:p w:rsidR="006E617C" w:rsidRDefault="006E617C" w:rsidP="00B83C79">
      <w:pPr>
        <w:spacing w:after="0"/>
        <w:ind w:firstLine="0"/>
        <w:contextualSpacing/>
        <w:rPr>
          <w:rFonts w:eastAsiaTheme="majorEastAsia" w:cs="Times New Roman"/>
          <w:szCs w:val="32"/>
          <w:lang w:val="ru-RU"/>
        </w:rPr>
      </w:pPr>
    </w:p>
    <w:p w:rsidR="00B83C79" w:rsidRDefault="00B83C79" w:rsidP="00B83C79">
      <w:pPr>
        <w:spacing w:after="0"/>
        <w:ind w:firstLine="0"/>
        <w:contextualSpacing/>
        <w:rPr>
          <w:rFonts w:eastAsiaTheme="majorEastAsia" w:cs="Times New Roman"/>
          <w:szCs w:val="32"/>
          <w:lang w:val="ru-RU"/>
        </w:rPr>
      </w:pPr>
    </w:p>
    <w:p w:rsidR="00916DF6" w:rsidRPr="00916DF6" w:rsidRDefault="00916DF6" w:rsidP="00B83C79">
      <w:pPr>
        <w:spacing w:after="0"/>
        <w:ind w:firstLine="709"/>
        <w:contextualSpacing/>
        <w:jc w:val="center"/>
        <w:rPr>
          <w:rFonts w:eastAsiaTheme="majorEastAsia" w:cs="Times New Roman"/>
          <w:szCs w:val="32"/>
          <w:lang w:val="ru-RU"/>
        </w:rPr>
      </w:pPr>
      <w:r w:rsidRPr="00916DF6">
        <w:rPr>
          <w:rFonts w:eastAsiaTheme="majorEastAsia" w:cs="Times New Roman"/>
          <w:szCs w:val="32"/>
          <w:lang w:val="ru-RU"/>
        </w:rPr>
        <w:lastRenderedPageBreak/>
        <w:t>Список использованной литературы:</w:t>
      </w:r>
    </w:p>
    <w:p w:rsidR="00916DF6" w:rsidRPr="00916DF6" w:rsidRDefault="00916DF6" w:rsidP="00B8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16DF6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916DF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.В. Зарубежный опыт таможенног</w:t>
      </w:r>
      <w:r w:rsidR="00276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F6">
        <w:rPr>
          <w:rFonts w:ascii="Times New Roman" w:hAnsi="Times New Roman" w:cs="Times New Roman"/>
          <w:sz w:val="28"/>
          <w:szCs w:val="28"/>
        </w:rPr>
        <w:t>администриров</w:t>
      </w:r>
      <w:r w:rsidRPr="00916DF6">
        <w:rPr>
          <w:rFonts w:ascii="Times New Roman" w:hAnsi="Times New Roman" w:cs="Times New Roman"/>
          <w:sz w:val="28"/>
          <w:szCs w:val="28"/>
        </w:rPr>
        <w:t>а</w:t>
      </w:r>
      <w:r w:rsidRPr="00916DF6">
        <w:rPr>
          <w:rFonts w:ascii="Times New Roman" w:hAnsi="Times New Roman" w:cs="Times New Roman"/>
          <w:sz w:val="28"/>
          <w:szCs w:val="28"/>
        </w:rPr>
        <w:t xml:space="preserve">ния: монография. М.: РИО РТА, 2017. 130 с.  </w:t>
      </w:r>
    </w:p>
    <w:p w:rsidR="00916DF6" w:rsidRPr="00916DF6" w:rsidRDefault="00916DF6" w:rsidP="00B83C79">
      <w:pPr>
        <w:pStyle w:val="a5"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916DF6">
        <w:rPr>
          <w:rFonts w:ascii="Times New Roman" w:hAnsi="Times New Roman" w:cs="Times New Roman"/>
          <w:sz w:val="28"/>
        </w:rPr>
        <w:t>Дулатова</w:t>
      </w:r>
      <w:proofErr w:type="spellEnd"/>
      <w:r w:rsidRPr="00916DF6">
        <w:rPr>
          <w:rFonts w:ascii="Times New Roman" w:hAnsi="Times New Roman" w:cs="Times New Roman"/>
          <w:sz w:val="28"/>
        </w:rPr>
        <w:t xml:space="preserve"> А.А. Предварите</w:t>
      </w:r>
      <w:r>
        <w:rPr>
          <w:rFonts w:ascii="Times New Roman" w:hAnsi="Times New Roman" w:cs="Times New Roman"/>
          <w:sz w:val="28"/>
        </w:rPr>
        <w:t xml:space="preserve">льное информирование, как шаг в </w:t>
      </w:r>
      <w:r w:rsidRPr="00916DF6">
        <w:rPr>
          <w:rFonts w:ascii="Times New Roman" w:hAnsi="Times New Roman" w:cs="Times New Roman"/>
          <w:sz w:val="28"/>
        </w:rPr>
        <w:t>б</w:t>
      </w:r>
      <w:r w:rsidRPr="00916DF6">
        <w:rPr>
          <w:rFonts w:ascii="Times New Roman" w:hAnsi="Times New Roman" w:cs="Times New Roman"/>
          <w:sz w:val="28"/>
        </w:rPr>
        <w:t>у</w:t>
      </w:r>
      <w:r w:rsidRPr="00916DF6">
        <w:rPr>
          <w:rFonts w:ascii="Times New Roman" w:hAnsi="Times New Roman" w:cs="Times New Roman"/>
          <w:sz w:val="28"/>
        </w:rPr>
        <w:t>дущее информационных таможенных технологий. // Тенденции развития науки и образования. 2019. № 47. С. 18-21.</w:t>
      </w:r>
    </w:p>
    <w:p w:rsidR="00916DF6" w:rsidRPr="007C34A5" w:rsidRDefault="00916DF6" w:rsidP="00B8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16DF6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Pr="00916DF6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916DF6">
        <w:rPr>
          <w:rFonts w:ascii="Times New Roman" w:hAnsi="Times New Roman" w:cs="Times New Roman"/>
          <w:sz w:val="28"/>
          <w:szCs w:val="28"/>
        </w:rPr>
        <w:t>Макрусев</w:t>
      </w:r>
      <w:proofErr w:type="spellEnd"/>
      <w:r w:rsidRPr="00916DF6">
        <w:rPr>
          <w:rFonts w:ascii="Times New Roman" w:hAnsi="Times New Roman" w:cs="Times New Roman"/>
          <w:sz w:val="28"/>
          <w:szCs w:val="28"/>
        </w:rPr>
        <w:t xml:space="preserve"> В.В. Цифровая трансформация таможенн</w:t>
      </w:r>
      <w:r w:rsidRPr="00916DF6">
        <w:rPr>
          <w:rFonts w:ascii="Times New Roman" w:hAnsi="Times New Roman" w:cs="Times New Roman"/>
          <w:sz w:val="28"/>
          <w:szCs w:val="28"/>
        </w:rPr>
        <w:t>о</w:t>
      </w:r>
      <w:r w:rsidRPr="00916DF6">
        <w:rPr>
          <w:rFonts w:ascii="Times New Roman" w:hAnsi="Times New Roman" w:cs="Times New Roman"/>
          <w:sz w:val="28"/>
          <w:szCs w:val="28"/>
        </w:rPr>
        <w:t>го регулятора: теория, проблемы и международный опыт их решения // Эк</w:t>
      </w:r>
      <w:r w:rsidRPr="00916DF6">
        <w:rPr>
          <w:rFonts w:ascii="Times New Roman" w:hAnsi="Times New Roman" w:cs="Times New Roman"/>
          <w:sz w:val="28"/>
          <w:szCs w:val="28"/>
        </w:rPr>
        <w:t>о</w:t>
      </w:r>
      <w:r w:rsidRPr="00916DF6">
        <w:rPr>
          <w:rFonts w:ascii="Times New Roman" w:hAnsi="Times New Roman" w:cs="Times New Roman"/>
          <w:sz w:val="28"/>
          <w:szCs w:val="28"/>
        </w:rPr>
        <w:t>номика: вчера, сегодня, завтра. 2019. Том 9. № 9А. С. 61-75.</w:t>
      </w:r>
    </w:p>
    <w:p w:rsidR="007C34A5" w:rsidRPr="007C34A5" w:rsidRDefault="007C34A5" w:rsidP="00B8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>Макрусев</w:t>
      </w:r>
      <w:proofErr w:type="spellEnd"/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 xml:space="preserve">, В.В. Маркетинг таможенных услуг : учебник / В.В. </w:t>
      </w:r>
      <w:proofErr w:type="spellStart"/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>Макрусев</w:t>
      </w:r>
      <w:proofErr w:type="spellEnd"/>
      <w:proofErr w:type="gramStart"/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 xml:space="preserve"> .</w:t>
      </w:r>
      <w:proofErr w:type="gramEnd"/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>— Москва : Проспект, 2017 .— 382 с. — ISBN 978-5-392-21786-1</w:t>
      </w:r>
      <w:r w:rsidR="00DE6F28">
        <w:rPr>
          <w:rFonts w:ascii="Times New Roman" w:eastAsiaTheme="minorHAnsi" w:hAnsi="Times New Roman" w:cs="Times New Roman"/>
          <w:sz w:val="28"/>
          <w:szCs w:val="20"/>
          <w:lang w:eastAsia="en-US"/>
        </w:rPr>
        <w:t>.</w:t>
      </w:r>
      <w:r w:rsidRPr="007C34A5">
        <w:rPr>
          <w:rFonts w:ascii="Times New Roman" w:eastAsiaTheme="minorHAnsi" w:hAnsi="Times New Roman" w:cs="Times New Roman"/>
          <w:sz w:val="28"/>
          <w:szCs w:val="20"/>
          <w:lang w:eastAsia="en-US"/>
        </w:rPr>
        <w:t xml:space="preserve"> </w:t>
      </w:r>
    </w:p>
    <w:p w:rsidR="00CB1E61" w:rsidRPr="00CB1E61" w:rsidRDefault="00CB1E61" w:rsidP="00B8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E61">
        <w:rPr>
          <w:rFonts w:ascii="Times New Roman" w:hAnsi="Times New Roman" w:cs="Times New Roman"/>
          <w:sz w:val="28"/>
          <w:szCs w:val="28"/>
        </w:rPr>
        <w:t>Макрусев</w:t>
      </w:r>
      <w:proofErr w:type="spellEnd"/>
      <w:r w:rsidRPr="00CB1E61">
        <w:rPr>
          <w:rFonts w:ascii="Times New Roman" w:hAnsi="Times New Roman" w:cs="Times New Roman"/>
          <w:sz w:val="28"/>
          <w:szCs w:val="28"/>
        </w:rPr>
        <w:t xml:space="preserve"> В.В. Идея </w:t>
      </w:r>
      <w:proofErr w:type="gramStart"/>
      <w:r w:rsidRPr="00CB1E61">
        <w:rPr>
          <w:rFonts w:ascii="Times New Roman" w:hAnsi="Times New Roman" w:cs="Times New Roman"/>
          <w:sz w:val="28"/>
          <w:szCs w:val="28"/>
        </w:rPr>
        <w:t>адаптивной</w:t>
      </w:r>
      <w:proofErr w:type="gramEnd"/>
      <w:r w:rsidRPr="00CB1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61">
        <w:rPr>
          <w:rFonts w:ascii="Times New Roman" w:hAnsi="Times New Roman" w:cs="Times New Roman"/>
          <w:sz w:val="28"/>
          <w:szCs w:val="28"/>
        </w:rPr>
        <w:t>метатехнологии</w:t>
      </w:r>
      <w:proofErr w:type="spellEnd"/>
      <w:r w:rsidRPr="00CB1E61">
        <w:rPr>
          <w:rFonts w:ascii="Times New Roman" w:hAnsi="Times New Roman" w:cs="Times New Roman"/>
          <w:sz w:val="28"/>
          <w:szCs w:val="28"/>
        </w:rPr>
        <w:t xml:space="preserve"> управления т</w:t>
      </w:r>
      <w:r w:rsidRPr="00CB1E61">
        <w:rPr>
          <w:rFonts w:ascii="Times New Roman" w:hAnsi="Times New Roman" w:cs="Times New Roman"/>
          <w:sz w:val="28"/>
          <w:szCs w:val="28"/>
        </w:rPr>
        <w:t>а</w:t>
      </w:r>
      <w:r w:rsidRPr="00CB1E61">
        <w:rPr>
          <w:rFonts w:ascii="Times New Roman" w:hAnsi="Times New Roman" w:cs="Times New Roman"/>
          <w:sz w:val="28"/>
          <w:szCs w:val="28"/>
        </w:rPr>
        <w:t>моженными институтами // Экономика: вчера, сегодня и завтра. 2017. Том 7. №11А. С 67-77.</w:t>
      </w:r>
    </w:p>
    <w:p w:rsidR="00CB1E61" w:rsidRPr="007C34A5" w:rsidRDefault="00040F1D" w:rsidP="00B83C7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A0701F" w:rsidRPr="00A0701F">
          <w:rPr>
            <w:rFonts w:ascii="Times New Roman" w:hAnsi="Times New Roman" w:cs="Times New Roman"/>
            <w:iCs/>
            <w:sz w:val="28"/>
            <w:szCs w:val="28"/>
          </w:rPr>
          <w:t>Макрусев</w:t>
        </w:r>
        <w:proofErr w:type="spellEnd"/>
        <w:r w:rsidR="00A0701F" w:rsidRPr="00A0701F">
          <w:rPr>
            <w:rFonts w:ascii="Times New Roman" w:hAnsi="Times New Roman" w:cs="Times New Roman"/>
            <w:iCs/>
            <w:sz w:val="28"/>
            <w:szCs w:val="28"/>
          </w:rPr>
          <w:t xml:space="preserve"> В.В</w:t>
        </w:r>
        <w:r w:rsidR="00A0701F" w:rsidRPr="00A0701F">
          <w:rPr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="00A0701F" w:rsidRPr="00A0701F">
          <w:rPr>
            <w:rFonts w:ascii="Times New Roman" w:hAnsi="Times New Roman" w:cs="Times New Roman"/>
            <w:sz w:val="28"/>
            <w:szCs w:val="28"/>
          </w:rPr>
          <w:t>Серв</w:t>
        </w:r>
        <w:r w:rsidR="00A0701F">
          <w:rPr>
            <w:rFonts w:ascii="Times New Roman" w:hAnsi="Times New Roman" w:cs="Times New Roman"/>
            <w:sz w:val="28"/>
            <w:szCs w:val="28"/>
          </w:rPr>
          <w:t>исно</w:t>
        </w:r>
        <w:proofErr w:type="spellEnd"/>
        <w:r w:rsidR="00A0701F">
          <w:rPr>
            <w:rFonts w:ascii="Times New Roman" w:hAnsi="Times New Roman" w:cs="Times New Roman"/>
            <w:sz w:val="28"/>
            <w:szCs w:val="28"/>
          </w:rPr>
          <w:t xml:space="preserve">-ориентированное таможенное 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регул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и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рование: идеи, институты, управление // Конкурентоспособность в глобал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ь</w:t>
        </w:r>
        <w:r w:rsidR="00A0701F" w:rsidRPr="00A0701F">
          <w:rPr>
            <w:rFonts w:ascii="Times New Roman" w:hAnsi="Times New Roman" w:cs="Times New Roman"/>
            <w:sz w:val="28"/>
            <w:szCs w:val="28"/>
          </w:rPr>
          <w:t>ном мире: экономика, нау</w:t>
        </w:r>
        <w:bookmarkStart w:id="0" w:name="_GoBack"/>
        <w:bookmarkEnd w:id="0"/>
        <w:r w:rsidR="00A0701F" w:rsidRPr="00A0701F">
          <w:rPr>
            <w:rFonts w:ascii="Times New Roman" w:hAnsi="Times New Roman" w:cs="Times New Roman"/>
            <w:sz w:val="28"/>
            <w:szCs w:val="28"/>
          </w:rPr>
          <w:t>ка, технологии. №12 (ч.19).2017. С.1239-1242.</w:t>
        </w:r>
      </w:hyperlink>
    </w:p>
    <w:sectPr w:rsidR="00CB1E61" w:rsidRPr="007C34A5" w:rsidSect="003D5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1D" w:rsidRDefault="00040F1D" w:rsidP="00916DF6">
      <w:pPr>
        <w:spacing w:after="0" w:line="240" w:lineRule="auto"/>
      </w:pPr>
      <w:r>
        <w:separator/>
      </w:r>
    </w:p>
  </w:endnote>
  <w:endnote w:type="continuationSeparator" w:id="0">
    <w:p w:rsidR="00040F1D" w:rsidRDefault="00040F1D" w:rsidP="0091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1D" w:rsidRDefault="00040F1D" w:rsidP="00916DF6">
      <w:pPr>
        <w:spacing w:after="0" w:line="240" w:lineRule="auto"/>
      </w:pPr>
      <w:r>
        <w:separator/>
      </w:r>
    </w:p>
  </w:footnote>
  <w:footnote w:type="continuationSeparator" w:id="0">
    <w:p w:rsidR="00040F1D" w:rsidRDefault="00040F1D" w:rsidP="0091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7A2F"/>
    <w:multiLevelType w:val="hybridMultilevel"/>
    <w:tmpl w:val="0916CBFE"/>
    <w:lvl w:ilvl="0" w:tplc="71483C28">
      <w:start w:val="1"/>
      <w:numFmt w:val="decimal"/>
      <w:lvlText w:val="%1."/>
      <w:lvlJc w:val="left"/>
      <w:pPr>
        <w:ind w:left="1097" w:hanging="360"/>
      </w:pPr>
      <w:rPr>
        <w:rFonts w:ascii="Times New Roman" w:eastAsia="BatangChe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0FB1BAF"/>
    <w:multiLevelType w:val="multilevel"/>
    <w:tmpl w:val="60D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71F3B"/>
    <w:multiLevelType w:val="multilevel"/>
    <w:tmpl w:val="8E6A22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38"/>
    <w:rsid w:val="00013444"/>
    <w:rsid w:val="0001396F"/>
    <w:rsid w:val="000172C7"/>
    <w:rsid w:val="00040F1D"/>
    <w:rsid w:val="00046BF6"/>
    <w:rsid w:val="000475A8"/>
    <w:rsid w:val="00052FF2"/>
    <w:rsid w:val="00054320"/>
    <w:rsid w:val="00065AD7"/>
    <w:rsid w:val="00073998"/>
    <w:rsid w:val="000816FC"/>
    <w:rsid w:val="00092CD2"/>
    <w:rsid w:val="00095529"/>
    <w:rsid w:val="000975B2"/>
    <w:rsid w:val="000B609F"/>
    <w:rsid w:val="000D0905"/>
    <w:rsid w:val="000D714B"/>
    <w:rsid w:val="000E1899"/>
    <w:rsid w:val="000E6989"/>
    <w:rsid w:val="001065E6"/>
    <w:rsid w:val="0016054B"/>
    <w:rsid w:val="00170272"/>
    <w:rsid w:val="001707CE"/>
    <w:rsid w:val="00186531"/>
    <w:rsid w:val="001A45B2"/>
    <w:rsid w:val="001B36E1"/>
    <w:rsid w:val="001B448E"/>
    <w:rsid w:val="001D4650"/>
    <w:rsid w:val="001F666F"/>
    <w:rsid w:val="001F700A"/>
    <w:rsid w:val="00217921"/>
    <w:rsid w:val="0025053A"/>
    <w:rsid w:val="00270924"/>
    <w:rsid w:val="002763B1"/>
    <w:rsid w:val="002C2FDA"/>
    <w:rsid w:val="002D0793"/>
    <w:rsid w:val="002E6A6A"/>
    <w:rsid w:val="002F4E1A"/>
    <w:rsid w:val="00304985"/>
    <w:rsid w:val="0034064E"/>
    <w:rsid w:val="00341823"/>
    <w:rsid w:val="00351B79"/>
    <w:rsid w:val="0036251E"/>
    <w:rsid w:val="00365D62"/>
    <w:rsid w:val="003709AE"/>
    <w:rsid w:val="0038050C"/>
    <w:rsid w:val="0038092A"/>
    <w:rsid w:val="003953D5"/>
    <w:rsid w:val="003B1229"/>
    <w:rsid w:val="003C003D"/>
    <w:rsid w:val="003D4EB3"/>
    <w:rsid w:val="003D5EEA"/>
    <w:rsid w:val="003E396E"/>
    <w:rsid w:val="003E6251"/>
    <w:rsid w:val="003F2ECB"/>
    <w:rsid w:val="00400163"/>
    <w:rsid w:val="00407B79"/>
    <w:rsid w:val="00412AAA"/>
    <w:rsid w:val="00424D86"/>
    <w:rsid w:val="00426FCF"/>
    <w:rsid w:val="00431289"/>
    <w:rsid w:val="004373A5"/>
    <w:rsid w:val="004454D3"/>
    <w:rsid w:val="004500CB"/>
    <w:rsid w:val="00461E61"/>
    <w:rsid w:val="0047065F"/>
    <w:rsid w:val="00473FD9"/>
    <w:rsid w:val="00480BE5"/>
    <w:rsid w:val="004C063D"/>
    <w:rsid w:val="004C3071"/>
    <w:rsid w:val="004E62DF"/>
    <w:rsid w:val="00506AAF"/>
    <w:rsid w:val="00507A32"/>
    <w:rsid w:val="00520134"/>
    <w:rsid w:val="0053331F"/>
    <w:rsid w:val="00536797"/>
    <w:rsid w:val="00541BFD"/>
    <w:rsid w:val="00553C4C"/>
    <w:rsid w:val="005569E5"/>
    <w:rsid w:val="00563007"/>
    <w:rsid w:val="00584CEB"/>
    <w:rsid w:val="005938F0"/>
    <w:rsid w:val="005B75F4"/>
    <w:rsid w:val="005C4E72"/>
    <w:rsid w:val="005C6BF6"/>
    <w:rsid w:val="005D448A"/>
    <w:rsid w:val="005F56F7"/>
    <w:rsid w:val="0060022C"/>
    <w:rsid w:val="00613968"/>
    <w:rsid w:val="00624C28"/>
    <w:rsid w:val="0063169A"/>
    <w:rsid w:val="00635FAD"/>
    <w:rsid w:val="0066260C"/>
    <w:rsid w:val="00664398"/>
    <w:rsid w:val="00670583"/>
    <w:rsid w:val="00686D52"/>
    <w:rsid w:val="006906A7"/>
    <w:rsid w:val="006A7CB4"/>
    <w:rsid w:val="006B4C91"/>
    <w:rsid w:val="006C7F83"/>
    <w:rsid w:val="006D0889"/>
    <w:rsid w:val="006E519A"/>
    <w:rsid w:val="006E5A29"/>
    <w:rsid w:val="006E617C"/>
    <w:rsid w:val="006F70AD"/>
    <w:rsid w:val="0070411B"/>
    <w:rsid w:val="00707BD6"/>
    <w:rsid w:val="00713B08"/>
    <w:rsid w:val="007424DF"/>
    <w:rsid w:val="007605DD"/>
    <w:rsid w:val="00761E28"/>
    <w:rsid w:val="0076565B"/>
    <w:rsid w:val="00770EA6"/>
    <w:rsid w:val="00781ED6"/>
    <w:rsid w:val="0078416F"/>
    <w:rsid w:val="007A37B8"/>
    <w:rsid w:val="007A3B49"/>
    <w:rsid w:val="007A54E1"/>
    <w:rsid w:val="007B5E44"/>
    <w:rsid w:val="007C34A5"/>
    <w:rsid w:val="007D5CCA"/>
    <w:rsid w:val="007E1156"/>
    <w:rsid w:val="00817F8C"/>
    <w:rsid w:val="00821EFD"/>
    <w:rsid w:val="00830BD3"/>
    <w:rsid w:val="008341C8"/>
    <w:rsid w:val="00836DCD"/>
    <w:rsid w:val="00846582"/>
    <w:rsid w:val="00851D38"/>
    <w:rsid w:val="008555CC"/>
    <w:rsid w:val="0088155C"/>
    <w:rsid w:val="008862DA"/>
    <w:rsid w:val="008C6158"/>
    <w:rsid w:val="008E57A9"/>
    <w:rsid w:val="008F7DC4"/>
    <w:rsid w:val="00900F03"/>
    <w:rsid w:val="00916DF6"/>
    <w:rsid w:val="00924CFE"/>
    <w:rsid w:val="00925ED1"/>
    <w:rsid w:val="00927558"/>
    <w:rsid w:val="009366CD"/>
    <w:rsid w:val="009379EF"/>
    <w:rsid w:val="0094454E"/>
    <w:rsid w:val="009512E3"/>
    <w:rsid w:val="00954C94"/>
    <w:rsid w:val="00982823"/>
    <w:rsid w:val="00985430"/>
    <w:rsid w:val="00986988"/>
    <w:rsid w:val="009D4F3A"/>
    <w:rsid w:val="009D7DD3"/>
    <w:rsid w:val="009E2636"/>
    <w:rsid w:val="009F70FC"/>
    <w:rsid w:val="00A0701F"/>
    <w:rsid w:val="00A11BA2"/>
    <w:rsid w:val="00A21ED2"/>
    <w:rsid w:val="00A3532D"/>
    <w:rsid w:val="00A417EF"/>
    <w:rsid w:val="00A44B68"/>
    <w:rsid w:val="00A64245"/>
    <w:rsid w:val="00A6772A"/>
    <w:rsid w:val="00A7250B"/>
    <w:rsid w:val="00A8130F"/>
    <w:rsid w:val="00A858ED"/>
    <w:rsid w:val="00A86DAD"/>
    <w:rsid w:val="00A922FF"/>
    <w:rsid w:val="00A97F36"/>
    <w:rsid w:val="00AC25AF"/>
    <w:rsid w:val="00AC5A14"/>
    <w:rsid w:val="00AD0CF1"/>
    <w:rsid w:val="00AE0A75"/>
    <w:rsid w:val="00AF4812"/>
    <w:rsid w:val="00B02104"/>
    <w:rsid w:val="00B0530B"/>
    <w:rsid w:val="00B064DB"/>
    <w:rsid w:val="00B06905"/>
    <w:rsid w:val="00B15F62"/>
    <w:rsid w:val="00B61198"/>
    <w:rsid w:val="00B654C1"/>
    <w:rsid w:val="00B76426"/>
    <w:rsid w:val="00B827F8"/>
    <w:rsid w:val="00B83C79"/>
    <w:rsid w:val="00B8645D"/>
    <w:rsid w:val="00B872F1"/>
    <w:rsid w:val="00B95B96"/>
    <w:rsid w:val="00B968D1"/>
    <w:rsid w:val="00BA00CB"/>
    <w:rsid w:val="00BA5E02"/>
    <w:rsid w:val="00BB530C"/>
    <w:rsid w:val="00BC33D5"/>
    <w:rsid w:val="00BE22A5"/>
    <w:rsid w:val="00C071EC"/>
    <w:rsid w:val="00C114CA"/>
    <w:rsid w:val="00C37043"/>
    <w:rsid w:val="00C43621"/>
    <w:rsid w:val="00C476C3"/>
    <w:rsid w:val="00C5342E"/>
    <w:rsid w:val="00C71F9D"/>
    <w:rsid w:val="00CA1DE5"/>
    <w:rsid w:val="00CA3482"/>
    <w:rsid w:val="00CB1E61"/>
    <w:rsid w:val="00CC1138"/>
    <w:rsid w:val="00CC2E7D"/>
    <w:rsid w:val="00CC3C7A"/>
    <w:rsid w:val="00CC3C8F"/>
    <w:rsid w:val="00CC3F8A"/>
    <w:rsid w:val="00CC445D"/>
    <w:rsid w:val="00CD0FF2"/>
    <w:rsid w:val="00CD48B8"/>
    <w:rsid w:val="00CD78C7"/>
    <w:rsid w:val="00D039D0"/>
    <w:rsid w:val="00D1184F"/>
    <w:rsid w:val="00D1497D"/>
    <w:rsid w:val="00D1534D"/>
    <w:rsid w:val="00D16004"/>
    <w:rsid w:val="00D1667D"/>
    <w:rsid w:val="00D268DB"/>
    <w:rsid w:val="00D310DA"/>
    <w:rsid w:val="00D3394B"/>
    <w:rsid w:val="00D364B4"/>
    <w:rsid w:val="00D36D0B"/>
    <w:rsid w:val="00D4021B"/>
    <w:rsid w:val="00D473AE"/>
    <w:rsid w:val="00D54A7C"/>
    <w:rsid w:val="00D6162F"/>
    <w:rsid w:val="00D6344A"/>
    <w:rsid w:val="00D70D36"/>
    <w:rsid w:val="00D7107B"/>
    <w:rsid w:val="00D74C99"/>
    <w:rsid w:val="00D94820"/>
    <w:rsid w:val="00DC3BAD"/>
    <w:rsid w:val="00DD43C2"/>
    <w:rsid w:val="00DD6986"/>
    <w:rsid w:val="00DE1B4B"/>
    <w:rsid w:val="00DE6F28"/>
    <w:rsid w:val="00DF0541"/>
    <w:rsid w:val="00E01CB8"/>
    <w:rsid w:val="00E326A7"/>
    <w:rsid w:val="00E47E1D"/>
    <w:rsid w:val="00E526BD"/>
    <w:rsid w:val="00E528C1"/>
    <w:rsid w:val="00E57473"/>
    <w:rsid w:val="00E67A84"/>
    <w:rsid w:val="00E71AA1"/>
    <w:rsid w:val="00E93796"/>
    <w:rsid w:val="00EA651C"/>
    <w:rsid w:val="00EA7877"/>
    <w:rsid w:val="00EC1E3A"/>
    <w:rsid w:val="00EC4C70"/>
    <w:rsid w:val="00F266E4"/>
    <w:rsid w:val="00F3376E"/>
    <w:rsid w:val="00F3390B"/>
    <w:rsid w:val="00F4109E"/>
    <w:rsid w:val="00F4304A"/>
    <w:rsid w:val="00F50669"/>
    <w:rsid w:val="00F52D06"/>
    <w:rsid w:val="00F57C3D"/>
    <w:rsid w:val="00F61BAB"/>
    <w:rsid w:val="00F67A05"/>
    <w:rsid w:val="00F72048"/>
    <w:rsid w:val="00F83DAF"/>
    <w:rsid w:val="00F84A77"/>
    <w:rsid w:val="00FB707B"/>
    <w:rsid w:val="00FC3AEB"/>
    <w:rsid w:val="00FC6A99"/>
    <w:rsid w:val="00FC7744"/>
    <w:rsid w:val="00FD4D5E"/>
    <w:rsid w:val="00FE3172"/>
    <w:rsid w:val="00FE4B23"/>
    <w:rsid w:val="00FF1E9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916DF6"/>
    <w:pPr>
      <w:spacing w:after="160" w:line="360" w:lineRule="auto"/>
      <w:ind w:firstLine="737"/>
      <w:jc w:val="both"/>
    </w:pPr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16DF6"/>
    <w:pPr>
      <w:keepNext/>
      <w:keepLines/>
      <w:spacing w:before="240" w:after="0" w:line="25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2">
    <w:name w:val="p2"/>
    <w:basedOn w:val="a"/>
    <w:rsid w:val="00916DF6"/>
    <w:pPr>
      <w:spacing w:before="100" w:beforeAutospacing="1" w:after="100" w:afterAutospacing="1" w:line="240" w:lineRule="auto"/>
      <w:ind w:firstLine="708"/>
    </w:pPr>
    <w:rPr>
      <w:rFonts w:cs="Times New Roman"/>
      <w:color w:val="auto"/>
      <w:szCs w:val="28"/>
      <w:lang w:val="ru-RU" w:eastAsia="ru-RU" w:bidi="ar-SA"/>
    </w:rPr>
  </w:style>
  <w:style w:type="paragraph" w:styleId="a3">
    <w:name w:val="List Paragraph"/>
    <w:aliases w:val="ParaList1,Рис-монограф"/>
    <w:basedOn w:val="a"/>
    <w:link w:val="a4"/>
    <w:uiPriority w:val="34"/>
    <w:qFormat/>
    <w:rsid w:val="00916DF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szCs w:val="22"/>
      <w:lang w:val="ru-RU" w:eastAsia="ru-RU" w:bidi="ar-SA"/>
    </w:rPr>
  </w:style>
  <w:style w:type="character" w:customStyle="1" w:styleId="a4">
    <w:name w:val="Абзац списка Знак"/>
    <w:aliases w:val="ParaList1 Знак,Рис-монограф Знак"/>
    <w:basedOn w:val="a0"/>
    <w:link w:val="a3"/>
    <w:uiPriority w:val="34"/>
    <w:locked/>
    <w:rsid w:val="00916DF6"/>
    <w:rPr>
      <w:rFonts w:eastAsiaTheme="minorEastAsia"/>
      <w:lang w:eastAsia="ru-RU"/>
    </w:rPr>
  </w:style>
  <w:style w:type="paragraph" w:styleId="a5">
    <w:name w:val="footnote text"/>
    <w:aliases w:val="Знак Знак,Знак,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Footnote,Fussnote,Текст сноски Знак1 Знак Знак"/>
    <w:basedOn w:val="a"/>
    <w:link w:val="a6"/>
    <w:uiPriority w:val="99"/>
    <w:unhideWhenUsed/>
    <w:rsid w:val="00916DF6"/>
    <w:pPr>
      <w:spacing w:after="0" w:line="240" w:lineRule="auto"/>
      <w:ind w:firstLine="0"/>
      <w:jc w:val="left"/>
    </w:pPr>
    <w:rPr>
      <w:rFonts w:asciiTheme="minorHAnsi" w:eastAsiaTheme="minorHAnsi" w:hAnsiTheme="minorHAnsi"/>
      <w:color w:val="auto"/>
      <w:sz w:val="20"/>
      <w:lang w:val="ru-RU" w:bidi="ar-SA"/>
    </w:rPr>
  </w:style>
  <w:style w:type="character" w:customStyle="1" w:styleId="a6">
    <w:name w:val="Текст сноски Знак"/>
    <w:aliases w:val="Знак Знак Знак,Знак Знак1,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Footnote Знак"/>
    <w:basedOn w:val="a0"/>
    <w:link w:val="a5"/>
    <w:uiPriority w:val="99"/>
    <w:rsid w:val="00916DF6"/>
    <w:rPr>
      <w:sz w:val="20"/>
      <w:szCs w:val="20"/>
    </w:rPr>
  </w:style>
  <w:style w:type="character" w:styleId="a7">
    <w:name w:val="footnote reference"/>
    <w:aliases w:val="Footnote Reference/,Знак сноски-FN"/>
    <w:basedOn w:val="a0"/>
    <w:unhideWhenUsed/>
    <w:rsid w:val="00916DF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DF6"/>
    <w:rPr>
      <w:rFonts w:ascii="Tahoma" w:eastAsiaTheme="minorEastAsia" w:hAnsi="Tahoma" w:cs="Tahoma"/>
      <w:color w:val="000000" w:themeColor="text1"/>
      <w:sz w:val="16"/>
      <w:szCs w:val="16"/>
      <w:lang w:val="en-US" w:bidi="en-US"/>
    </w:rPr>
  </w:style>
  <w:style w:type="paragraph" w:styleId="aa">
    <w:name w:val="Normal (Web)"/>
    <w:basedOn w:val="a"/>
    <w:uiPriority w:val="99"/>
    <w:semiHidden/>
    <w:unhideWhenUsed/>
    <w:rsid w:val="00A0701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A0701F"/>
    <w:rPr>
      <w:color w:val="0000FF"/>
      <w:u w:val="single"/>
    </w:rPr>
  </w:style>
  <w:style w:type="character" w:styleId="ac">
    <w:name w:val="Emphasis"/>
    <w:basedOn w:val="a0"/>
    <w:uiPriority w:val="20"/>
    <w:qFormat/>
    <w:rsid w:val="00A0701F"/>
    <w:rPr>
      <w:i/>
      <w:iCs/>
    </w:rPr>
  </w:style>
  <w:style w:type="paragraph" w:styleId="ad">
    <w:name w:val="header"/>
    <w:basedOn w:val="a"/>
    <w:link w:val="ae"/>
    <w:uiPriority w:val="99"/>
    <w:unhideWhenUsed/>
    <w:rsid w:val="0083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6DCD"/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  <w:style w:type="paragraph" w:styleId="af">
    <w:name w:val="footer"/>
    <w:basedOn w:val="a"/>
    <w:link w:val="af0"/>
    <w:uiPriority w:val="99"/>
    <w:unhideWhenUsed/>
    <w:rsid w:val="0083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6DCD"/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916DF6"/>
    <w:pPr>
      <w:spacing w:after="160" w:line="360" w:lineRule="auto"/>
      <w:ind w:firstLine="737"/>
      <w:jc w:val="both"/>
    </w:pPr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16DF6"/>
    <w:pPr>
      <w:keepNext/>
      <w:keepLines/>
      <w:spacing w:before="240" w:after="0" w:line="25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2">
    <w:name w:val="p2"/>
    <w:basedOn w:val="a"/>
    <w:rsid w:val="00916DF6"/>
    <w:pPr>
      <w:spacing w:before="100" w:beforeAutospacing="1" w:after="100" w:afterAutospacing="1" w:line="240" w:lineRule="auto"/>
      <w:ind w:firstLine="708"/>
    </w:pPr>
    <w:rPr>
      <w:rFonts w:cs="Times New Roman"/>
      <w:color w:val="auto"/>
      <w:szCs w:val="28"/>
      <w:lang w:val="ru-RU" w:eastAsia="ru-RU" w:bidi="ar-SA"/>
    </w:rPr>
  </w:style>
  <w:style w:type="paragraph" w:styleId="a3">
    <w:name w:val="List Paragraph"/>
    <w:aliases w:val="ParaList1,Рис-монограф"/>
    <w:basedOn w:val="a"/>
    <w:link w:val="a4"/>
    <w:uiPriority w:val="34"/>
    <w:qFormat/>
    <w:rsid w:val="00916DF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color w:val="auto"/>
      <w:sz w:val="22"/>
      <w:szCs w:val="22"/>
      <w:lang w:val="ru-RU" w:eastAsia="ru-RU" w:bidi="ar-SA"/>
    </w:rPr>
  </w:style>
  <w:style w:type="character" w:customStyle="1" w:styleId="a4">
    <w:name w:val="Абзац списка Знак"/>
    <w:aliases w:val="ParaList1 Знак,Рис-монограф Знак"/>
    <w:basedOn w:val="a0"/>
    <w:link w:val="a3"/>
    <w:uiPriority w:val="34"/>
    <w:locked/>
    <w:rsid w:val="00916DF6"/>
    <w:rPr>
      <w:rFonts w:eastAsiaTheme="minorEastAsia"/>
      <w:lang w:eastAsia="ru-RU"/>
    </w:rPr>
  </w:style>
  <w:style w:type="paragraph" w:styleId="a5">
    <w:name w:val="footnote text"/>
    <w:aliases w:val="Знак Знак,Знак,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Footnote,Fussnote,Текст сноски Знак1 Знак Знак"/>
    <w:basedOn w:val="a"/>
    <w:link w:val="a6"/>
    <w:uiPriority w:val="99"/>
    <w:unhideWhenUsed/>
    <w:rsid w:val="00916DF6"/>
    <w:pPr>
      <w:spacing w:after="0" w:line="240" w:lineRule="auto"/>
      <w:ind w:firstLine="0"/>
      <w:jc w:val="left"/>
    </w:pPr>
    <w:rPr>
      <w:rFonts w:asciiTheme="minorHAnsi" w:eastAsiaTheme="minorHAnsi" w:hAnsiTheme="minorHAnsi"/>
      <w:color w:val="auto"/>
      <w:sz w:val="20"/>
      <w:lang w:val="ru-RU" w:bidi="ar-SA"/>
    </w:rPr>
  </w:style>
  <w:style w:type="character" w:customStyle="1" w:styleId="a6">
    <w:name w:val="Текст сноски Знак"/>
    <w:aliases w:val="Знак Знак Знак,Знак Знак1,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Footnote Знак"/>
    <w:basedOn w:val="a0"/>
    <w:link w:val="a5"/>
    <w:uiPriority w:val="99"/>
    <w:rsid w:val="00916DF6"/>
    <w:rPr>
      <w:sz w:val="20"/>
      <w:szCs w:val="20"/>
    </w:rPr>
  </w:style>
  <w:style w:type="character" w:styleId="a7">
    <w:name w:val="footnote reference"/>
    <w:aliases w:val="Footnote Reference/,Знак сноски-FN"/>
    <w:basedOn w:val="a0"/>
    <w:unhideWhenUsed/>
    <w:rsid w:val="00916DF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DF6"/>
    <w:rPr>
      <w:rFonts w:ascii="Tahoma" w:eastAsiaTheme="minorEastAsia" w:hAnsi="Tahoma" w:cs="Tahoma"/>
      <w:color w:val="000000" w:themeColor="text1"/>
      <w:sz w:val="16"/>
      <w:szCs w:val="16"/>
      <w:lang w:val="en-US" w:bidi="en-US"/>
    </w:rPr>
  </w:style>
  <w:style w:type="paragraph" w:styleId="aa">
    <w:name w:val="Normal (Web)"/>
    <w:basedOn w:val="a"/>
    <w:uiPriority w:val="99"/>
    <w:semiHidden/>
    <w:unhideWhenUsed/>
    <w:rsid w:val="00A0701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A0701F"/>
    <w:rPr>
      <w:color w:val="0000FF"/>
      <w:u w:val="single"/>
    </w:rPr>
  </w:style>
  <w:style w:type="character" w:styleId="ac">
    <w:name w:val="Emphasis"/>
    <w:basedOn w:val="a0"/>
    <w:uiPriority w:val="20"/>
    <w:qFormat/>
    <w:rsid w:val="00A0701F"/>
    <w:rPr>
      <w:i/>
      <w:iCs/>
    </w:rPr>
  </w:style>
  <w:style w:type="paragraph" w:styleId="ad">
    <w:name w:val="header"/>
    <w:basedOn w:val="a"/>
    <w:link w:val="ae"/>
    <w:uiPriority w:val="99"/>
    <w:unhideWhenUsed/>
    <w:rsid w:val="0083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6DCD"/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  <w:style w:type="paragraph" w:styleId="af">
    <w:name w:val="footer"/>
    <w:basedOn w:val="a"/>
    <w:link w:val="af0"/>
    <w:uiPriority w:val="99"/>
    <w:unhideWhenUsed/>
    <w:rsid w:val="0083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6DCD"/>
    <w:rPr>
      <w:rFonts w:ascii="Times New Roman" w:eastAsiaTheme="minorEastAsia" w:hAnsi="Times New Roman"/>
      <w:color w:val="000000" w:themeColor="text1"/>
      <w:sz w:val="2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0182879.xsph.ru/wp-content/uploads/2018/01/%D0%A1%D1%82%D0%B0%D1%82%D1%8C%D1%8F-Makrusev_-%D0%B4%D0%B5%D0%BA%D0%B0%D0%B1%D1%80%D1%8C-2017-%D0%A1%D0%B5%D1%80%D0%B2%D0%B8%D1%81%D0%BD%D0%BE-%D0%BE%D1%80%D0%B8%D0%B5%D0%BD%D1%82%D0%B8%D1%80%D0%BE%D0%B2%D0%B0%D0%BD%D0%BD%D0%BE%D0%B5-%D1%82%D0%B0%D0%BC%D0%BE%D0%B6%D0%B5%D0%BD%D0%BD%D0%BE%D0%B5-%D1%80%D0%B5%D0%B3%D1%83%D0%BB%D0%B8%D1%80%D0%BE%D0%B2%D0%B0%D0%BD%D0%B8%D0%B5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</dc:creator>
  <cp:keywords/>
  <dc:description/>
  <cp:lastModifiedBy>Dema</cp:lastModifiedBy>
  <cp:revision>19</cp:revision>
  <dcterms:created xsi:type="dcterms:W3CDTF">2021-02-23T19:56:00Z</dcterms:created>
  <dcterms:modified xsi:type="dcterms:W3CDTF">2022-11-22T14:00:00Z</dcterms:modified>
</cp:coreProperties>
</file>