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7677A" w14:textId="77777777" w:rsidR="00807E79" w:rsidRPr="007A68C2" w:rsidRDefault="00807E79" w:rsidP="00E36F93">
      <w:pPr>
        <w:spacing w:after="0" w:line="360" w:lineRule="auto"/>
        <w:jc w:val="right"/>
        <w:rPr>
          <w:b/>
          <w:i/>
        </w:rPr>
      </w:pPr>
    </w:p>
    <w:p w14:paraId="35798478" w14:textId="5FAA5D69" w:rsidR="007F25BA" w:rsidRPr="007A68C2" w:rsidRDefault="0036035A" w:rsidP="00E36F93">
      <w:pPr>
        <w:spacing w:line="360" w:lineRule="auto"/>
        <w:jc w:val="center"/>
        <w:rPr>
          <w:b/>
          <w:szCs w:val="28"/>
        </w:rPr>
      </w:pPr>
      <w:r>
        <w:rPr>
          <w:rFonts w:eastAsia="Times New Roman"/>
          <w:b/>
          <w:bCs/>
          <w:iCs/>
          <w:szCs w:val="28"/>
          <w:lang w:eastAsia="ru-RU"/>
        </w:rPr>
        <w:t>СУБЪЕКТИВНЫЕ ПРИЗНАКИ ПРЕСТУПЛЕНИЯ, ПРЕДУСМОТРЕННОГО СТ. 254 УК РФ</w:t>
      </w:r>
      <w:r w:rsidR="00C364FE" w:rsidRPr="007A68C2">
        <w:rPr>
          <w:rFonts w:eastAsia="Times New Roman"/>
          <w:b/>
          <w:bCs/>
          <w:iCs/>
          <w:szCs w:val="28"/>
          <w:lang w:eastAsia="ru-RU"/>
        </w:rPr>
        <w:t xml:space="preserve"> </w:t>
      </w:r>
    </w:p>
    <w:p w14:paraId="362AABC0" w14:textId="74BB7F05" w:rsidR="007F25BA" w:rsidRPr="007A68C2" w:rsidRDefault="00E36F93" w:rsidP="0080390C">
      <w:pPr>
        <w:spacing w:after="0" w:line="360" w:lineRule="auto"/>
        <w:ind w:firstLine="708"/>
        <w:jc w:val="both"/>
        <w:rPr>
          <w:i/>
        </w:rPr>
      </w:pPr>
      <w:r w:rsidRPr="007A68C2">
        <w:rPr>
          <w:b/>
          <w:i/>
        </w:rPr>
        <w:t>Аннотация:</w:t>
      </w:r>
      <w:r w:rsidRPr="007A68C2">
        <w:rPr>
          <w:i/>
        </w:rPr>
        <w:t xml:space="preserve"> </w:t>
      </w:r>
      <w:r w:rsidR="002F025E" w:rsidRPr="007A68C2">
        <w:rPr>
          <w:i/>
        </w:rPr>
        <w:t xml:space="preserve">В статье </w:t>
      </w:r>
      <w:r w:rsidR="00C364FE" w:rsidRPr="007A68C2">
        <w:rPr>
          <w:i/>
        </w:rPr>
        <w:t>проанализирован</w:t>
      </w:r>
      <w:r w:rsidR="0036035A">
        <w:rPr>
          <w:i/>
        </w:rPr>
        <w:t>ы субъективные признаки</w:t>
      </w:r>
      <w:r w:rsidR="003D56FE">
        <w:rPr>
          <w:i/>
        </w:rPr>
        <w:t xml:space="preserve"> преступления, предусмотренного ст. 254 УК РФ. Автор приходит к выводам о том, что данное преступление может быть совершено не только по неосторожности, но и умышленно, при этом злонамеренная порча земли квалифицируется также, как и неосторожное, хотя очевидно, что ответственность в таком случае должна наступать по квалифицированному составу.  </w:t>
      </w:r>
    </w:p>
    <w:p w14:paraId="1E0BADE2" w14:textId="55471DBC" w:rsidR="007F25BA" w:rsidRPr="007A68C2" w:rsidRDefault="007F25BA" w:rsidP="00807E79">
      <w:pPr>
        <w:spacing w:after="0" w:line="360" w:lineRule="auto"/>
        <w:ind w:firstLine="708"/>
        <w:jc w:val="both"/>
        <w:rPr>
          <w:i/>
        </w:rPr>
      </w:pPr>
      <w:r w:rsidRPr="007A68C2">
        <w:rPr>
          <w:b/>
          <w:i/>
        </w:rPr>
        <w:t>Ключевые слова</w:t>
      </w:r>
      <w:r w:rsidR="00E36F93" w:rsidRPr="007A68C2">
        <w:rPr>
          <w:b/>
          <w:i/>
        </w:rPr>
        <w:t xml:space="preserve">: </w:t>
      </w:r>
      <w:r w:rsidR="00DE6101" w:rsidRPr="007A68C2">
        <w:rPr>
          <w:i/>
        </w:rPr>
        <w:t xml:space="preserve">порча земли, </w:t>
      </w:r>
      <w:r w:rsidR="003D56FE">
        <w:rPr>
          <w:i/>
        </w:rPr>
        <w:t xml:space="preserve">субъективная сторона порчи земли, неосторожная порча земли, умышленная порча земли. </w:t>
      </w:r>
      <w:r w:rsidR="00FE2416" w:rsidRPr="007A68C2">
        <w:rPr>
          <w:i/>
        </w:rPr>
        <w:t xml:space="preserve"> </w:t>
      </w:r>
      <w:r w:rsidR="008847E0" w:rsidRPr="007A68C2">
        <w:rPr>
          <w:i/>
        </w:rPr>
        <w:t xml:space="preserve"> </w:t>
      </w:r>
    </w:p>
    <w:p w14:paraId="54FB993A" w14:textId="53322F6B" w:rsidR="008847E0" w:rsidRPr="007A68C2" w:rsidRDefault="008847E0" w:rsidP="00E36F93">
      <w:pPr>
        <w:spacing w:after="0" w:line="360" w:lineRule="auto"/>
        <w:rPr>
          <w:i/>
        </w:rPr>
      </w:pPr>
    </w:p>
    <w:p w14:paraId="21AA7C8A" w14:textId="14B63743" w:rsidR="008847E0" w:rsidRPr="00D40A0E" w:rsidRDefault="008847E0" w:rsidP="008847E0">
      <w:pPr>
        <w:spacing w:after="0" w:line="360" w:lineRule="auto"/>
        <w:ind w:firstLine="708"/>
        <w:jc w:val="both"/>
        <w:rPr>
          <w:i/>
          <w:lang w:val="en-US"/>
        </w:rPr>
      </w:pPr>
      <w:r w:rsidRPr="007A68C2">
        <w:rPr>
          <w:b/>
          <w:bCs/>
          <w:i/>
          <w:lang w:val="en-US"/>
        </w:rPr>
        <w:t>Abstract:</w:t>
      </w:r>
      <w:r w:rsidR="00D40A0E" w:rsidRPr="00D40A0E">
        <w:rPr>
          <w:lang w:val="en-US"/>
        </w:rPr>
        <w:t xml:space="preserve"> </w:t>
      </w:r>
      <w:r w:rsidR="00D40A0E" w:rsidRPr="00D40A0E">
        <w:rPr>
          <w:i/>
          <w:lang w:val="en-US"/>
        </w:rPr>
        <w:t>The article analyzes the subjective signs of a crime under Article 254 of the Criminal Code of the Russian Federation. The author comes to the conclusion that this crime can be committed not only by negligence, but also intentionally, while malicious damage to the land is qualified as well as careless, although it is obvious that responsibility in this case should come by qualified personnel.</w:t>
      </w:r>
    </w:p>
    <w:p w14:paraId="4752048C" w14:textId="69F1C3DF" w:rsidR="008847E0" w:rsidRPr="007A68C2" w:rsidRDefault="008847E0" w:rsidP="008847E0">
      <w:pPr>
        <w:spacing w:after="0" w:line="360" w:lineRule="auto"/>
        <w:ind w:firstLine="708"/>
        <w:jc w:val="both"/>
        <w:rPr>
          <w:i/>
          <w:lang w:val="en-US"/>
        </w:rPr>
      </w:pPr>
      <w:r w:rsidRPr="007A68C2">
        <w:rPr>
          <w:b/>
          <w:bCs/>
          <w:i/>
          <w:lang w:val="en-US"/>
        </w:rPr>
        <w:t>Keywords:</w:t>
      </w:r>
      <w:r w:rsidRPr="007A68C2">
        <w:rPr>
          <w:i/>
          <w:lang w:val="en-US"/>
        </w:rPr>
        <w:t xml:space="preserve"> </w:t>
      </w:r>
      <w:r w:rsidR="00D40A0E" w:rsidRPr="00D40A0E">
        <w:rPr>
          <w:i/>
          <w:lang w:val="en-US"/>
        </w:rPr>
        <w:t>damage to the earth, the subjective side of damage to the earth, careless damage to the earth, intentional damage to the earth</w:t>
      </w:r>
    </w:p>
    <w:p w14:paraId="49DCCF46" w14:textId="37089595" w:rsidR="008847E0" w:rsidRPr="007A68C2" w:rsidRDefault="008847E0" w:rsidP="008847E0">
      <w:pPr>
        <w:spacing w:after="0" w:line="360" w:lineRule="auto"/>
        <w:ind w:firstLine="708"/>
        <w:jc w:val="both"/>
        <w:rPr>
          <w:i/>
          <w:lang w:val="en-US"/>
        </w:rPr>
      </w:pPr>
    </w:p>
    <w:p w14:paraId="286374F8" w14:textId="77777777" w:rsidR="001B1929" w:rsidRDefault="0036035A" w:rsidP="00D40A0E">
      <w:pPr>
        <w:spacing w:after="0" w:line="360" w:lineRule="auto"/>
        <w:ind w:firstLine="708"/>
        <w:jc w:val="both"/>
        <w:rPr>
          <w:rFonts w:eastAsia="Calibri"/>
          <w:szCs w:val="28"/>
          <w:lang w:eastAsia="ru-RU"/>
        </w:rPr>
      </w:pPr>
      <w:r w:rsidRPr="0036035A">
        <w:rPr>
          <w:rFonts w:eastAsia="Calibri"/>
          <w:szCs w:val="28"/>
          <w:lang w:eastAsia="ru-RU"/>
        </w:rPr>
        <w:t>Субъект</w:t>
      </w:r>
      <w:r w:rsidR="00D40A0E">
        <w:rPr>
          <w:rFonts w:eastAsia="Calibri"/>
          <w:szCs w:val="28"/>
          <w:lang w:eastAsia="ru-RU"/>
        </w:rPr>
        <w:t>ами</w:t>
      </w:r>
      <w:r w:rsidRPr="0036035A">
        <w:rPr>
          <w:rFonts w:eastAsia="Calibri"/>
          <w:szCs w:val="28"/>
          <w:lang w:eastAsia="ru-RU"/>
        </w:rPr>
        <w:t xml:space="preserve"> </w:t>
      </w:r>
      <w:r w:rsidR="00D40A0E">
        <w:rPr>
          <w:rFonts w:eastAsia="Calibri"/>
          <w:szCs w:val="28"/>
          <w:lang w:eastAsia="ru-RU"/>
        </w:rPr>
        <w:t>преступлений</w:t>
      </w:r>
      <w:r w:rsidRPr="0036035A">
        <w:rPr>
          <w:rFonts w:eastAsia="Calibri"/>
          <w:szCs w:val="28"/>
          <w:lang w:eastAsia="ru-RU"/>
        </w:rPr>
        <w:t xml:space="preserve"> выступают вменяемые физические лица, достигшие возраста уголовной ответственности. Возраст наступления уголовной ответственности установлен в ст. 20 УК РФ, при этом общий возраст – шестнадцать лет, специальный – четырнадцать. </w:t>
      </w:r>
    </w:p>
    <w:p w14:paraId="14857029" w14:textId="77777777" w:rsidR="001B1929" w:rsidRDefault="0036035A" w:rsidP="00D40A0E">
      <w:pPr>
        <w:spacing w:after="0" w:line="360" w:lineRule="auto"/>
        <w:ind w:firstLine="708"/>
        <w:jc w:val="both"/>
        <w:rPr>
          <w:rFonts w:eastAsia="Calibri"/>
          <w:szCs w:val="28"/>
          <w:lang w:eastAsia="ru-RU"/>
        </w:rPr>
      </w:pPr>
      <w:r w:rsidRPr="0036035A">
        <w:rPr>
          <w:rFonts w:eastAsia="Calibri"/>
          <w:szCs w:val="28"/>
          <w:lang w:eastAsia="ru-RU"/>
        </w:rPr>
        <w:t>Уголовная ответственность с четырнадцати лет наступает за преступления, прямо предусмотренные в части 2 ст. 20 УК РФ, ни одно из преступлений, предусмотренных главой 26 УК РФ,</w:t>
      </w:r>
      <w:r w:rsidR="00D40A0E">
        <w:rPr>
          <w:rFonts w:eastAsia="Calibri"/>
          <w:szCs w:val="28"/>
          <w:lang w:eastAsia="ru-RU"/>
        </w:rPr>
        <w:t xml:space="preserve"> в том числе ст. 254 «Порча </w:t>
      </w:r>
      <w:r w:rsidR="00D40A0E">
        <w:rPr>
          <w:rFonts w:eastAsia="Calibri"/>
          <w:szCs w:val="28"/>
          <w:lang w:eastAsia="ru-RU"/>
        </w:rPr>
        <w:lastRenderedPageBreak/>
        <w:t>земли»,</w:t>
      </w:r>
      <w:r w:rsidRPr="0036035A">
        <w:rPr>
          <w:rFonts w:eastAsia="Calibri"/>
          <w:szCs w:val="28"/>
          <w:lang w:eastAsia="ru-RU"/>
        </w:rPr>
        <w:t xml:space="preserve"> здесь не упомянуто, соответственно, уголовная ответственность за экологические преступления наступает с шестнадцати лет.</w:t>
      </w:r>
      <w:r w:rsidR="00D40A0E">
        <w:rPr>
          <w:rFonts w:eastAsia="Calibri"/>
          <w:szCs w:val="28"/>
          <w:lang w:eastAsia="ru-RU"/>
        </w:rPr>
        <w:t xml:space="preserve"> </w:t>
      </w:r>
    </w:p>
    <w:p w14:paraId="5F83E694" w14:textId="0A8B13DB" w:rsidR="00D40A0E" w:rsidRDefault="00D40A0E" w:rsidP="00D40A0E">
      <w:pPr>
        <w:spacing w:after="0" w:line="360" w:lineRule="auto"/>
        <w:ind w:firstLine="708"/>
        <w:jc w:val="both"/>
        <w:rPr>
          <w:rFonts w:eastAsia="Calibri"/>
          <w:szCs w:val="28"/>
          <w:lang w:eastAsia="ru-RU"/>
        </w:rPr>
      </w:pPr>
      <w:r>
        <w:rPr>
          <w:rFonts w:eastAsia="Calibri"/>
          <w:szCs w:val="28"/>
          <w:lang w:eastAsia="ru-RU"/>
        </w:rPr>
        <w:t xml:space="preserve">При этом, с учетом того, что подавляющее большинство экологических преступлений, в том числе порча земли, совершаются в процессе хозяйственной деятельности, их субъектами как правило являются лица более старшего возраста. Соответственно, вряд ли здесь целесообразно говорить о необходимости снижения возраста привлечения к уголовной ответственности за порчу земли и иные преступления экологической направленности.  </w:t>
      </w:r>
    </w:p>
    <w:p w14:paraId="6C30C4ED" w14:textId="77777777" w:rsidR="001B1929" w:rsidRDefault="00D40A0E" w:rsidP="00D40A0E">
      <w:pPr>
        <w:spacing w:after="0" w:line="360" w:lineRule="auto"/>
        <w:ind w:firstLine="708"/>
        <w:jc w:val="both"/>
        <w:rPr>
          <w:rFonts w:eastAsia="Calibri"/>
          <w:szCs w:val="28"/>
          <w:lang w:eastAsia="ru-RU"/>
        </w:rPr>
      </w:pPr>
      <w:r>
        <w:rPr>
          <w:rFonts w:eastAsia="Calibri"/>
          <w:szCs w:val="28"/>
          <w:lang w:eastAsia="ru-RU"/>
        </w:rPr>
        <w:t xml:space="preserve">Значительное число </w:t>
      </w:r>
      <w:r w:rsidR="0036035A" w:rsidRPr="0036035A">
        <w:rPr>
          <w:rFonts w:eastAsia="Calibri"/>
          <w:szCs w:val="28"/>
          <w:lang w:eastAsia="ru-RU"/>
        </w:rPr>
        <w:t>статей главы 26 УК РФ предусматривает специального субъекта преступления, когда такой субъект, кроме трех базовых признаков – физическое лицо, возраст и вменяемость – наделяется дополнительным, в исследуемой главе это определенное служебное положение лица.</w:t>
      </w:r>
      <w:r w:rsidR="00AE273F">
        <w:rPr>
          <w:rFonts w:eastAsia="Calibri"/>
          <w:szCs w:val="28"/>
          <w:lang w:eastAsia="ru-RU"/>
        </w:rPr>
        <w:t xml:space="preserve"> </w:t>
      </w:r>
    </w:p>
    <w:p w14:paraId="2D3F3F97" w14:textId="5E2C7FD4" w:rsidR="00AE273F" w:rsidRDefault="0036035A" w:rsidP="00D40A0E">
      <w:pPr>
        <w:spacing w:after="0" w:line="360" w:lineRule="auto"/>
        <w:ind w:firstLine="708"/>
        <w:jc w:val="both"/>
        <w:rPr>
          <w:rFonts w:eastAsia="Calibri"/>
          <w:szCs w:val="28"/>
          <w:lang w:eastAsia="ru-RU"/>
        </w:rPr>
      </w:pPr>
      <w:r w:rsidRPr="0036035A">
        <w:rPr>
          <w:rFonts w:eastAsia="Calibri"/>
          <w:szCs w:val="28"/>
          <w:lang w:eastAsia="ru-RU"/>
        </w:rPr>
        <w:t>Очевидно, что в силу своих служебных обязанностей такие лица обладают широкими возможностями по планированию и сокрытию экологических преступлений, и совершение ими таких преступлений характеризуется повышенной общественной опасностью, в связи с чем такие деяния относятся к квалифицированным составам экологических преступлений</w:t>
      </w:r>
      <w:r w:rsidRPr="0036035A">
        <w:rPr>
          <w:rFonts w:eastAsia="Calibri"/>
          <w:szCs w:val="28"/>
          <w:vertAlign w:val="superscript"/>
          <w:lang w:eastAsia="ru-RU"/>
        </w:rPr>
        <w:footnoteReference w:id="1"/>
      </w:r>
      <w:r w:rsidRPr="0036035A">
        <w:rPr>
          <w:rFonts w:eastAsia="Calibri"/>
          <w:szCs w:val="28"/>
          <w:lang w:eastAsia="ru-RU"/>
        </w:rPr>
        <w:t xml:space="preserve">. </w:t>
      </w:r>
      <w:r w:rsidR="00AE273F">
        <w:rPr>
          <w:rFonts w:eastAsia="Calibri"/>
          <w:szCs w:val="28"/>
          <w:lang w:eastAsia="ru-RU"/>
        </w:rPr>
        <w:t xml:space="preserve"> </w:t>
      </w:r>
    </w:p>
    <w:p w14:paraId="59E7666A" w14:textId="77777777" w:rsidR="001B1929" w:rsidRDefault="00AE273F" w:rsidP="00D40A0E">
      <w:pPr>
        <w:spacing w:after="0" w:line="360" w:lineRule="auto"/>
        <w:ind w:firstLine="708"/>
        <w:jc w:val="both"/>
        <w:rPr>
          <w:rFonts w:eastAsia="Calibri"/>
          <w:szCs w:val="28"/>
          <w:lang w:eastAsia="ru-RU"/>
        </w:rPr>
      </w:pPr>
      <w:r>
        <w:rPr>
          <w:rFonts w:eastAsia="Calibri"/>
          <w:szCs w:val="28"/>
          <w:lang w:eastAsia="ru-RU"/>
        </w:rPr>
        <w:t xml:space="preserve">Вместе с тем, преступления, связанные с причинением вреда основным компонентам природной среды, в том числе земле, не предусматривают специальных субъектов. </w:t>
      </w:r>
    </w:p>
    <w:p w14:paraId="007C0D4C" w14:textId="25FF9AEE" w:rsidR="00AE273F" w:rsidRDefault="00AE273F" w:rsidP="00D40A0E">
      <w:pPr>
        <w:spacing w:after="0" w:line="360" w:lineRule="auto"/>
        <w:ind w:firstLine="708"/>
        <w:jc w:val="both"/>
        <w:rPr>
          <w:rFonts w:eastAsia="Calibri"/>
          <w:szCs w:val="28"/>
          <w:lang w:eastAsia="ru-RU"/>
        </w:rPr>
      </w:pPr>
      <w:r>
        <w:rPr>
          <w:rFonts w:eastAsia="Calibri"/>
          <w:szCs w:val="28"/>
          <w:lang w:eastAsia="ru-RU"/>
        </w:rPr>
        <w:t xml:space="preserve">Это обусловлено особенностями объективной стороны порчи земли, которая в принципе не предусматривает использования для совершения данного преступления служебного положения. </w:t>
      </w:r>
    </w:p>
    <w:p w14:paraId="410A9783" w14:textId="77777777" w:rsidR="001B1929" w:rsidRDefault="00AE273F" w:rsidP="00AE273F">
      <w:pPr>
        <w:spacing w:after="0" w:line="360" w:lineRule="auto"/>
        <w:ind w:firstLine="708"/>
        <w:jc w:val="both"/>
        <w:rPr>
          <w:rFonts w:eastAsia="Times New Roman"/>
          <w:szCs w:val="28"/>
        </w:rPr>
      </w:pPr>
      <w:r>
        <w:rPr>
          <w:rFonts w:eastAsia="Calibri"/>
          <w:szCs w:val="28"/>
          <w:lang w:eastAsia="ru-RU"/>
        </w:rPr>
        <w:t xml:space="preserve">  </w:t>
      </w:r>
      <w:r w:rsidR="0036035A" w:rsidRPr="0036035A">
        <w:rPr>
          <w:rFonts w:eastAsia="Calibri"/>
          <w:szCs w:val="28"/>
          <w:lang w:eastAsia="ru-RU"/>
        </w:rPr>
        <w:t>Субъективная сторона преступления представляет собой психическое отношение лица к совершаемому им общественно-опасному деянию и его последствиям. Основная категория здесь – вина.</w:t>
      </w:r>
      <w:r w:rsidR="0036035A" w:rsidRPr="0036035A">
        <w:rPr>
          <w:rFonts w:eastAsia="Times New Roman"/>
          <w:szCs w:val="28"/>
        </w:rPr>
        <w:t xml:space="preserve"> </w:t>
      </w:r>
    </w:p>
    <w:p w14:paraId="6E2D9335" w14:textId="1D50D510" w:rsidR="0036035A" w:rsidRPr="0036035A" w:rsidRDefault="0036035A" w:rsidP="00AE273F">
      <w:pPr>
        <w:spacing w:after="0" w:line="360" w:lineRule="auto"/>
        <w:ind w:firstLine="708"/>
        <w:jc w:val="both"/>
        <w:rPr>
          <w:rFonts w:eastAsia="Times New Roman"/>
          <w:szCs w:val="28"/>
        </w:rPr>
      </w:pPr>
      <w:r w:rsidRPr="0036035A">
        <w:rPr>
          <w:rFonts w:eastAsia="Times New Roman"/>
          <w:szCs w:val="28"/>
        </w:rPr>
        <w:lastRenderedPageBreak/>
        <w:t>В теории уголовного права выделяют преступления, совершенные с умыслом и по неосторожности. В свою очередь, умысел может быть прямым и косвенным, формами неосторожности выступают преступное легкомыслие и преступная небрежность.</w:t>
      </w:r>
    </w:p>
    <w:p w14:paraId="65754965" w14:textId="77777777" w:rsidR="0036035A" w:rsidRPr="0036035A" w:rsidRDefault="0036035A" w:rsidP="0036035A">
      <w:pPr>
        <w:spacing w:after="0" w:line="360" w:lineRule="auto"/>
        <w:jc w:val="both"/>
        <w:rPr>
          <w:rFonts w:eastAsia="Times New Roman"/>
          <w:szCs w:val="28"/>
        </w:rPr>
      </w:pPr>
      <w:r w:rsidRPr="0036035A">
        <w:rPr>
          <w:rFonts w:eastAsia="Times New Roman"/>
          <w:szCs w:val="28"/>
        </w:rPr>
        <w:tab/>
        <w:t>Прямой умысел имеет место тогда, когда лицо осознает общественную опасность своего деяния, и желает наступления в результате его совершения определенных общественно-опасных последствий.</w:t>
      </w:r>
    </w:p>
    <w:p w14:paraId="5F8D8C52" w14:textId="77777777" w:rsidR="0036035A" w:rsidRPr="0036035A" w:rsidRDefault="0036035A" w:rsidP="0036035A">
      <w:pPr>
        <w:spacing w:after="0" w:line="360" w:lineRule="auto"/>
        <w:jc w:val="both"/>
        <w:rPr>
          <w:rFonts w:eastAsia="Times New Roman"/>
          <w:szCs w:val="28"/>
        </w:rPr>
      </w:pPr>
      <w:r w:rsidRPr="0036035A">
        <w:rPr>
          <w:rFonts w:eastAsia="Times New Roman"/>
          <w:szCs w:val="28"/>
        </w:rPr>
        <w:tab/>
        <w:t>При совершении преступления с косвенным умыслом преступник осознает, что его действия носят общественно-опасный характер, отдает себе отчет в том, что в их результате могут наступить общественно-опасные последствия, однако относится к их наступлению безразлично, допуская их как результат своих действий.</w:t>
      </w:r>
    </w:p>
    <w:p w14:paraId="544CFD74" w14:textId="77777777" w:rsidR="0036035A" w:rsidRPr="0036035A" w:rsidRDefault="0036035A" w:rsidP="0036035A">
      <w:pPr>
        <w:spacing w:after="0" w:line="360" w:lineRule="auto"/>
        <w:jc w:val="both"/>
        <w:rPr>
          <w:rFonts w:eastAsia="Times New Roman"/>
          <w:szCs w:val="28"/>
        </w:rPr>
      </w:pPr>
      <w:r w:rsidRPr="0036035A">
        <w:rPr>
          <w:rFonts w:eastAsia="Times New Roman"/>
          <w:szCs w:val="28"/>
        </w:rPr>
        <w:tab/>
        <w:t>Преступное легкомыслие имеет место тогда, когда преступник, осознавая характер своих действий, понимая, что их прямым результатом могут явиться определенные общественно-опасные последствия, рассчитывает на их не наступление, хотя объективных оснований для этого не имеется.</w:t>
      </w:r>
    </w:p>
    <w:p w14:paraId="28A438EA" w14:textId="71754850" w:rsidR="0036035A" w:rsidRDefault="0036035A" w:rsidP="0036035A">
      <w:pPr>
        <w:spacing w:after="0" w:line="360" w:lineRule="auto"/>
        <w:jc w:val="both"/>
        <w:rPr>
          <w:rFonts w:eastAsia="Times New Roman"/>
          <w:szCs w:val="28"/>
        </w:rPr>
      </w:pPr>
      <w:r w:rsidRPr="0036035A">
        <w:rPr>
          <w:rFonts w:eastAsia="Times New Roman"/>
          <w:szCs w:val="28"/>
        </w:rPr>
        <w:tab/>
        <w:t xml:space="preserve">Наконец, последняя форма вины – преступная небрежность. В данном случае лицо не осознает, что в результате его действий могут с большой долей вероятности наступить опасные последствия, однако отсутствие такого осознания не имеет под собой объективного обоснования, поскольку лицо не проявляет должной предусмотрительности и внимательности, не подвергает характер своих действий серьезному анализу. </w:t>
      </w:r>
    </w:p>
    <w:p w14:paraId="7FB9B2A3" w14:textId="12070D15" w:rsidR="00AE273F" w:rsidRDefault="00AE273F" w:rsidP="0036035A">
      <w:pPr>
        <w:spacing w:after="0" w:line="360" w:lineRule="auto"/>
        <w:jc w:val="both"/>
        <w:rPr>
          <w:rFonts w:eastAsia="Times New Roman"/>
          <w:szCs w:val="28"/>
        </w:rPr>
      </w:pPr>
      <w:r>
        <w:rPr>
          <w:rFonts w:eastAsia="Times New Roman"/>
          <w:szCs w:val="28"/>
        </w:rPr>
        <w:tab/>
        <w:t>Преступление, предусмотренное ст. 254 УК РФ, может быть совершено как умышленно, так и по неосторожности</w:t>
      </w:r>
      <w:r>
        <w:rPr>
          <w:rStyle w:val="af"/>
          <w:rFonts w:eastAsia="Times New Roman"/>
          <w:szCs w:val="28"/>
        </w:rPr>
        <w:footnoteReference w:id="2"/>
      </w:r>
      <w:r>
        <w:rPr>
          <w:rFonts w:eastAsia="Times New Roman"/>
          <w:szCs w:val="28"/>
        </w:rPr>
        <w:t xml:space="preserve">. </w:t>
      </w:r>
    </w:p>
    <w:p w14:paraId="51D28455" w14:textId="77777777" w:rsidR="001B1929" w:rsidRDefault="00AE273F" w:rsidP="00AE273F">
      <w:pPr>
        <w:spacing w:after="0" w:line="360" w:lineRule="auto"/>
        <w:ind w:firstLine="708"/>
        <w:jc w:val="both"/>
        <w:rPr>
          <w:rFonts w:eastAsia="Times New Roman"/>
          <w:szCs w:val="28"/>
        </w:rPr>
      </w:pPr>
      <w:r>
        <w:rPr>
          <w:rFonts w:eastAsia="Times New Roman"/>
          <w:szCs w:val="28"/>
        </w:rPr>
        <w:t>Как пишет А.А. Клочкова, н</w:t>
      </w:r>
      <w:r w:rsidR="003D56FE" w:rsidRPr="003D56FE">
        <w:rPr>
          <w:rFonts w:eastAsia="Times New Roman"/>
          <w:szCs w:val="28"/>
        </w:rPr>
        <w:t xml:space="preserve">еосторожная форма вины по отношению к последствиям прямо предусмотрена в ч. 3 ст. 254 УК РФ, где говорится о причинении по неосторожности смерти человеку. </w:t>
      </w:r>
    </w:p>
    <w:p w14:paraId="685E0505" w14:textId="77777777" w:rsidR="001B1929" w:rsidRDefault="003D56FE" w:rsidP="00AE273F">
      <w:pPr>
        <w:spacing w:after="0" w:line="360" w:lineRule="auto"/>
        <w:ind w:firstLine="708"/>
        <w:jc w:val="both"/>
        <w:rPr>
          <w:rFonts w:eastAsia="Times New Roman"/>
          <w:szCs w:val="28"/>
        </w:rPr>
      </w:pPr>
      <w:r w:rsidRPr="003D56FE">
        <w:rPr>
          <w:rFonts w:eastAsia="Times New Roman"/>
          <w:szCs w:val="28"/>
        </w:rPr>
        <w:lastRenderedPageBreak/>
        <w:t xml:space="preserve">Указание в, ч. 3 ст. 254 УК РФ на неосторожность исключает квалификацию по этой части умысла по отношению к смерти человека. Но при наличии, двойной формы вины (ст. 27 УК) неосторожное отношение к последствиям не меняет умышленного характера совершения преступления, и все преступление признается умышленным. </w:t>
      </w:r>
    </w:p>
    <w:p w14:paraId="0B43D5B7" w14:textId="77777777" w:rsidR="001B1929" w:rsidRDefault="003D56FE" w:rsidP="00AE273F">
      <w:pPr>
        <w:spacing w:after="0" w:line="360" w:lineRule="auto"/>
        <w:ind w:firstLine="708"/>
        <w:jc w:val="both"/>
        <w:rPr>
          <w:rFonts w:eastAsia="Times New Roman"/>
          <w:szCs w:val="28"/>
        </w:rPr>
      </w:pPr>
      <w:r w:rsidRPr="003D56FE">
        <w:rPr>
          <w:rFonts w:eastAsia="Times New Roman"/>
          <w:szCs w:val="28"/>
        </w:rPr>
        <w:t xml:space="preserve">Получается, что преступление по ст. 254 УК РФ может быть как неосторожным, так и умышленным, в том числе, в последнем случае - и преступлением с двойной формой вины. </w:t>
      </w:r>
    </w:p>
    <w:p w14:paraId="6EB68165" w14:textId="79F37105" w:rsidR="003D56FE" w:rsidRDefault="003D56FE" w:rsidP="00AE273F">
      <w:pPr>
        <w:spacing w:after="0" w:line="360" w:lineRule="auto"/>
        <w:ind w:firstLine="708"/>
        <w:jc w:val="both"/>
        <w:rPr>
          <w:rFonts w:eastAsia="Times New Roman"/>
          <w:szCs w:val="28"/>
        </w:rPr>
      </w:pPr>
      <w:r w:rsidRPr="003D56FE">
        <w:rPr>
          <w:rFonts w:eastAsia="Times New Roman"/>
          <w:szCs w:val="28"/>
        </w:rPr>
        <w:t>Если потерпевшему причинена смерть умышленно, имеет место преступление против личности, соответственно, требуется дополнительная квалификация ч. 1 или ч. 2 ст. 254 УК по соответствующим статьям УК РФ</w:t>
      </w:r>
      <w:r>
        <w:rPr>
          <w:rStyle w:val="af"/>
          <w:rFonts w:eastAsia="Times New Roman"/>
          <w:szCs w:val="28"/>
        </w:rPr>
        <w:footnoteReference w:id="3"/>
      </w:r>
      <w:r w:rsidRPr="003D56FE">
        <w:rPr>
          <w:rFonts w:eastAsia="Times New Roman"/>
          <w:szCs w:val="28"/>
        </w:rPr>
        <w:t>.</w:t>
      </w:r>
    </w:p>
    <w:p w14:paraId="441311FD" w14:textId="77777777" w:rsidR="001B1929" w:rsidRDefault="0036035A" w:rsidP="0036035A">
      <w:pPr>
        <w:spacing w:after="0" w:line="360" w:lineRule="auto"/>
        <w:jc w:val="both"/>
        <w:rPr>
          <w:rFonts w:eastAsia="Times New Roman"/>
          <w:szCs w:val="28"/>
        </w:rPr>
      </w:pPr>
      <w:r w:rsidRPr="0036035A">
        <w:rPr>
          <w:rFonts w:eastAsia="Times New Roman"/>
          <w:szCs w:val="28"/>
        </w:rPr>
        <w:tab/>
        <w:t>Неосторожные экологические преступления как правило связаны с халатным отношением к природоохранным требованиям – например, 19 апреля 2021 года Л. осужден Бельским районным судом Тверской области по ч. 1 ст. 254 УК РФ</w:t>
      </w:r>
      <w:r w:rsidRPr="0036035A">
        <w:rPr>
          <w:rFonts w:eastAsia="Times New Roman"/>
          <w:szCs w:val="28"/>
          <w:vertAlign w:val="superscript"/>
        </w:rPr>
        <w:footnoteReference w:id="4"/>
      </w:r>
      <w:r w:rsidRPr="0036035A">
        <w:rPr>
          <w:rFonts w:eastAsia="Times New Roman"/>
          <w:szCs w:val="28"/>
        </w:rPr>
        <w:t xml:space="preserve">. </w:t>
      </w:r>
    </w:p>
    <w:p w14:paraId="696C728E" w14:textId="77777777" w:rsidR="001B1929" w:rsidRDefault="0036035A" w:rsidP="001B1929">
      <w:pPr>
        <w:spacing w:after="0" w:line="360" w:lineRule="auto"/>
        <w:ind w:firstLine="708"/>
        <w:jc w:val="both"/>
        <w:rPr>
          <w:rFonts w:eastAsia="Calibri"/>
          <w:szCs w:val="28"/>
        </w:rPr>
      </w:pPr>
      <w:r w:rsidRPr="0036035A">
        <w:rPr>
          <w:rFonts w:eastAsia="Times New Roman"/>
          <w:szCs w:val="28"/>
        </w:rPr>
        <w:t xml:space="preserve">Установлено, что  Л., </w:t>
      </w:r>
      <w:r w:rsidRPr="0036035A">
        <w:rPr>
          <w:rFonts w:eastAsia="Calibri"/>
          <w:szCs w:val="28"/>
        </w:rPr>
        <w:t xml:space="preserve">который  являясь оператором котельной, находясь на своем рабочем месте, в нарушение должностных инструкций, а также внутреннего распоряжения начальника теплового участка, согласно которому оператор котельной обязан производить осмотр работы котельной каждые два часа, вовремя не проверил уровень давления в мазутной сети и работу оборудования котельной в целом, в результате чего не заметил, что произошло выдавливание фрагмента прокладки мазутного трубопровода, в связи с чем, из емкости для хранения нефтепродукта началась утечка и разлив 3500 литров мазута, в связи с чем, участок местности площадью 40 кв.м., расположенный на территории Бельского района Тверской области, был загрязнен опасным химическим веществом - мазутом. </w:t>
      </w:r>
    </w:p>
    <w:p w14:paraId="1DAA0254" w14:textId="77777777" w:rsidR="001B1929" w:rsidRDefault="0036035A" w:rsidP="001B1929">
      <w:pPr>
        <w:spacing w:after="0" w:line="360" w:lineRule="auto"/>
        <w:ind w:firstLine="708"/>
        <w:jc w:val="both"/>
        <w:rPr>
          <w:rFonts w:eastAsia="Calibri"/>
          <w:szCs w:val="28"/>
        </w:rPr>
      </w:pPr>
      <w:r w:rsidRPr="0036035A">
        <w:rPr>
          <w:rFonts w:eastAsia="Calibri"/>
          <w:szCs w:val="28"/>
        </w:rPr>
        <w:lastRenderedPageBreak/>
        <w:t xml:space="preserve">Согласно расчету исчисления размера вреда, нанесенного окружающей природной среде от загрязнения земель нефтесодержащими веществами, уровень концентрации нефтепродуктов в почве площадью 40 кв.м. превышает ориентировочно допустимую концентрацию в 28,7 -55, 0 раза, что является сильной степенью загрязнения окружающей среды и влечет за собой причинение вреда на сумму 288 870 рублей 98 копеек. </w:t>
      </w:r>
    </w:p>
    <w:p w14:paraId="397999C9" w14:textId="3313E7A2" w:rsidR="001B1929" w:rsidRDefault="0036035A" w:rsidP="001B1929">
      <w:pPr>
        <w:spacing w:after="0" w:line="360" w:lineRule="auto"/>
        <w:ind w:firstLine="708"/>
        <w:jc w:val="both"/>
        <w:rPr>
          <w:rFonts w:eastAsia="Calibri"/>
          <w:szCs w:val="28"/>
        </w:rPr>
      </w:pPr>
      <w:r w:rsidRPr="0036035A">
        <w:rPr>
          <w:rFonts w:eastAsia="Calibri"/>
          <w:szCs w:val="28"/>
        </w:rPr>
        <w:t xml:space="preserve">Тем самым преступными действиями Л.  окружающей среде был причинен вред на сумму 288 870 рублей 98 копеек. </w:t>
      </w:r>
    </w:p>
    <w:p w14:paraId="3F282075" w14:textId="0073A50E" w:rsidR="0036035A" w:rsidRDefault="0036035A" w:rsidP="001B1929">
      <w:pPr>
        <w:spacing w:after="0" w:line="360" w:lineRule="auto"/>
        <w:ind w:firstLine="708"/>
        <w:jc w:val="both"/>
        <w:rPr>
          <w:rFonts w:eastAsia="Calibri"/>
          <w:szCs w:val="28"/>
        </w:rPr>
      </w:pPr>
      <w:r w:rsidRPr="0036035A">
        <w:rPr>
          <w:rFonts w:eastAsia="Calibri"/>
          <w:szCs w:val="28"/>
        </w:rPr>
        <w:t xml:space="preserve">Содеянное Л. верно квалифицировано по части 1 ст. 254 УК РФ, при этом в данном случае речь идет о т.н. «халатном» преступлении, когда виновный ненадлежащим образов выполнил свои служебные </w:t>
      </w:r>
      <w:r w:rsidR="00AE273F">
        <w:rPr>
          <w:rFonts w:eastAsia="Calibri"/>
          <w:szCs w:val="28"/>
        </w:rPr>
        <w:t xml:space="preserve">(рабочие) </w:t>
      </w:r>
      <w:r w:rsidRPr="0036035A">
        <w:rPr>
          <w:rFonts w:eastAsia="Calibri"/>
          <w:szCs w:val="28"/>
        </w:rPr>
        <w:t>обязанности</w:t>
      </w:r>
      <w:r w:rsidR="00AE273F">
        <w:rPr>
          <w:rFonts w:eastAsia="Calibri"/>
          <w:szCs w:val="28"/>
        </w:rPr>
        <w:t xml:space="preserve">. </w:t>
      </w:r>
      <w:r w:rsidRPr="0036035A">
        <w:rPr>
          <w:rFonts w:eastAsia="Calibri"/>
          <w:szCs w:val="28"/>
        </w:rPr>
        <w:t xml:space="preserve"> Л. не совершал активных действий, направленных на попадание мазута в почву, его вина заключается в том, что, будучи наделенным определенными обязанностями, призванными обеспечить предупреждение вреда окружающей среде в процессе эксплуатации котельной, уклонился от выполнения своих обязанностей, что не позволило ему своевременно обнаружить угрозу протечки мазута.</w:t>
      </w:r>
    </w:p>
    <w:p w14:paraId="7FF18846" w14:textId="77777777" w:rsidR="0054374C" w:rsidRDefault="001B1929" w:rsidP="001B1929">
      <w:pPr>
        <w:spacing w:after="0" w:line="360" w:lineRule="auto"/>
        <w:ind w:firstLine="708"/>
        <w:jc w:val="both"/>
        <w:rPr>
          <w:rFonts w:eastAsia="Calibri"/>
          <w:szCs w:val="28"/>
        </w:rPr>
      </w:pPr>
      <w:r>
        <w:rPr>
          <w:rFonts w:eastAsia="Calibri"/>
          <w:szCs w:val="28"/>
        </w:rPr>
        <w:t xml:space="preserve">При этом обращает на себя внимание, что ст. 254 УК РФ не дифференцирует ответственность за порчу земли в зависимости от того, произошло ли, например, загрязнение земли вследствие неосторожного использования вредных веществ или же умышленного. </w:t>
      </w:r>
    </w:p>
    <w:p w14:paraId="2C16974F" w14:textId="77777777" w:rsidR="0054374C" w:rsidRDefault="001B1929" w:rsidP="001B1929">
      <w:pPr>
        <w:spacing w:after="0" w:line="360" w:lineRule="auto"/>
        <w:ind w:firstLine="708"/>
        <w:jc w:val="both"/>
        <w:rPr>
          <w:rFonts w:eastAsia="Calibri"/>
          <w:szCs w:val="28"/>
        </w:rPr>
      </w:pPr>
      <w:r>
        <w:rPr>
          <w:rFonts w:eastAsia="Calibri"/>
          <w:szCs w:val="28"/>
        </w:rPr>
        <w:t>Чаще всего такие преступления совершаются вследствие неосторожных действий</w:t>
      </w:r>
      <w:r w:rsidR="0054374C">
        <w:rPr>
          <w:rFonts w:eastAsia="Calibri"/>
          <w:szCs w:val="28"/>
        </w:rPr>
        <w:t xml:space="preserve">, когда виновный не имел намерения – ни прямого, ни косвенного – на загрязнение земли. </w:t>
      </w:r>
    </w:p>
    <w:p w14:paraId="4026D55C" w14:textId="7005DDB0" w:rsidR="0054374C" w:rsidRDefault="0054374C" w:rsidP="001B1929">
      <w:pPr>
        <w:spacing w:after="0" w:line="360" w:lineRule="auto"/>
        <w:ind w:firstLine="708"/>
        <w:jc w:val="both"/>
        <w:rPr>
          <w:rFonts w:eastAsia="Calibri"/>
          <w:szCs w:val="28"/>
        </w:rPr>
      </w:pPr>
      <w:r>
        <w:rPr>
          <w:rFonts w:eastAsia="Calibri"/>
          <w:szCs w:val="28"/>
        </w:rPr>
        <w:t xml:space="preserve">Вместе с тем, не исключено и умышленное совершение исследуемого деяния, например, если виновный специально выльет в землю опасное химическое вещество (для получения страховки, в целях испортить чужой земельный участок и т.д.). Очевидно, что в таком случае общественная опасность содеянного является более высокой, и ответственность должна наступать по квалифицированному составу. </w:t>
      </w:r>
    </w:p>
    <w:p w14:paraId="63F9DB50" w14:textId="5DE72B8D" w:rsidR="0054374C" w:rsidRPr="00C864E9" w:rsidRDefault="0054374C" w:rsidP="00C864E9">
      <w:pPr>
        <w:spacing w:after="0" w:line="360" w:lineRule="auto"/>
        <w:ind w:firstLine="708"/>
        <w:jc w:val="both"/>
        <w:rPr>
          <w:rFonts w:eastAsia="Calibri"/>
          <w:szCs w:val="28"/>
        </w:rPr>
      </w:pPr>
      <w:r>
        <w:rPr>
          <w:rFonts w:eastAsia="Calibri"/>
          <w:szCs w:val="28"/>
        </w:rPr>
        <w:lastRenderedPageBreak/>
        <w:t xml:space="preserve">Таким образом, в части 2 ст. 254 УК РФ необходимо предусмотреть такой квалифицирующий признак, как умышленная порча земли.  </w:t>
      </w:r>
      <w:r w:rsidR="001B1929">
        <w:rPr>
          <w:rFonts w:eastAsia="Calibri"/>
          <w:szCs w:val="28"/>
        </w:rPr>
        <w:t xml:space="preserve"> </w:t>
      </w:r>
    </w:p>
    <w:p w14:paraId="6A3D6383" w14:textId="501F8CF4" w:rsidR="00E86F93" w:rsidRPr="007A68C2" w:rsidRDefault="00E86F93" w:rsidP="008847E0">
      <w:pPr>
        <w:spacing w:after="0" w:line="360" w:lineRule="auto"/>
        <w:ind w:firstLine="708"/>
        <w:jc w:val="both"/>
        <w:rPr>
          <w:i/>
        </w:rPr>
      </w:pPr>
    </w:p>
    <w:p w14:paraId="7FC29F82" w14:textId="16A04E9A" w:rsidR="007F25BA" w:rsidRPr="007A68C2" w:rsidRDefault="007F25BA" w:rsidP="00E36F93">
      <w:pPr>
        <w:spacing w:after="0" w:line="360" w:lineRule="auto"/>
        <w:jc w:val="center"/>
        <w:rPr>
          <w:b/>
        </w:rPr>
      </w:pPr>
      <w:r w:rsidRPr="007A68C2">
        <w:rPr>
          <w:b/>
        </w:rPr>
        <w:t>Использованные источники</w:t>
      </w:r>
    </w:p>
    <w:p w14:paraId="3911E4C3" w14:textId="77777777" w:rsidR="006B2E9A" w:rsidRPr="007A68C2" w:rsidRDefault="006B2E9A" w:rsidP="006B2E9A">
      <w:pPr>
        <w:spacing w:after="0" w:line="360" w:lineRule="auto"/>
        <w:jc w:val="both"/>
        <w:rPr>
          <w:b/>
        </w:rPr>
      </w:pPr>
    </w:p>
    <w:p w14:paraId="17FA3C41" w14:textId="59E363FF" w:rsidR="00714B88" w:rsidRPr="001B1929" w:rsidRDefault="00714B88" w:rsidP="001B1929">
      <w:pPr>
        <w:pStyle w:val="a7"/>
        <w:numPr>
          <w:ilvl w:val="0"/>
          <w:numId w:val="4"/>
        </w:numPr>
        <w:spacing w:after="0" w:line="360" w:lineRule="auto"/>
        <w:ind w:left="0" w:firstLine="567"/>
        <w:jc w:val="both"/>
        <w:rPr>
          <w:rFonts w:ascii="Times New Roman" w:hAnsi="Times New Roman"/>
          <w:bCs/>
          <w:sz w:val="28"/>
          <w:szCs w:val="28"/>
        </w:rPr>
      </w:pPr>
      <w:r w:rsidRPr="001B1929">
        <w:rPr>
          <w:rFonts w:ascii="Times New Roman" w:hAnsi="Times New Roman"/>
          <w:bCs/>
          <w:sz w:val="28"/>
          <w:szCs w:val="28"/>
        </w:rPr>
        <w:t>Уголовный кодекс Российской Федерации от 13.06.1996 № 63-ФЗ // Российская газета. – 1996. - № 113.</w:t>
      </w:r>
    </w:p>
    <w:p w14:paraId="60CAC238" w14:textId="5282D522" w:rsidR="001B1929" w:rsidRPr="001B1929" w:rsidRDefault="001B1929" w:rsidP="001B1929">
      <w:pPr>
        <w:pStyle w:val="a7"/>
        <w:numPr>
          <w:ilvl w:val="0"/>
          <w:numId w:val="4"/>
        </w:numPr>
        <w:spacing w:after="0" w:line="360" w:lineRule="auto"/>
        <w:ind w:left="0" w:firstLine="567"/>
        <w:jc w:val="both"/>
        <w:rPr>
          <w:rFonts w:ascii="Times New Roman" w:hAnsi="Times New Roman"/>
          <w:bCs/>
          <w:sz w:val="28"/>
          <w:szCs w:val="28"/>
        </w:rPr>
      </w:pPr>
      <w:r w:rsidRPr="001B1929">
        <w:rPr>
          <w:rFonts w:ascii="Times New Roman" w:hAnsi="Times New Roman"/>
          <w:bCs/>
          <w:sz w:val="28"/>
          <w:szCs w:val="28"/>
        </w:rPr>
        <w:t>Александрова Н.С. Уголовная ответственность за порчу земли: проблемы правоприменения / Н.С. Александрова // Известия Оренбургского государственного аграрного университета. – 2019. - № 4. – С. 66-70.</w:t>
      </w:r>
    </w:p>
    <w:p w14:paraId="5D89C7B1" w14:textId="3A006227" w:rsidR="001B1929" w:rsidRPr="001B1929" w:rsidRDefault="001B1929" w:rsidP="001B1929">
      <w:pPr>
        <w:pStyle w:val="a7"/>
        <w:numPr>
          <w:ilvl w:val="0"/>
          <w:numId w:val="4"/>
        </w:numPr>
        <w:spacing w:after="0" w:line="360" w:lineRule="auto"/>
        <w:ind w:left="0" w:firstLine="567"/>
        <w:jc w:val="both"/>
        <w:rPr>
          <w:rFonts w:ascii="Times New Roman" w:hAnsi="Times New Roman"/>
          <w:bCs/>
          <w:sz w:val="28"/>
          <w:szCs w:val="28"/>
        </w:rPr>
      </w:pPr>
      <w:r w:rsidRPr="001B1929">
        <w:rPr>
          <w:rFonts w:ascii="Times New Roman" w:hAnsi="Times New Roman"/>
          <w:bCs/>
          <w:sz w:val="28"/>
          <w:szCs w:val="28"/>
        </w:rPr>
        <w:t xml:space="preserve">Клочкова </w:t>
      </w:r>
      <w:proofErr w:type="gramStart"/>
      <w:r w:rsidRPr="001B1929">
        <w:rPr>
          <w:rFonts w:ascii="Times New Roman" w:hAnsi="Times New Roman"/>
          <w:bCs/>
          <w:sz w:val="28"/>
          <w:szCs w:val="28"/>
        </w:rPr>
        <w:t>А.А.</w:t>
      </w:r>
      <w:proofErr w:type="gramEnd"/>
      <w:r w:rsidRPr="001B1929">
        <w:rPr>
          <w:rFonts w:ascii="Times New Roman" w:hAnsi="Times New Roman"/>
          <w:bCs/>
          <w:sz w:val="28"/>
          <w:szCs w:val="28"/>
        </w:rPr>
        <w:t xml:space="preserve"> Уголовная ответственность за порчу земли: автореферат </w:t>
      </w:r>
      <w:proofErr w:type="spellStart"/>
      <w:r w:rsidRPr="001B1929">
        <w:rPr>
          <w:rFonts w:ascii="Times New Roman" w:hAnsi="Times New Roman"/>
          <w:bCs/>
          <w:sz w:val="28"/>
          <w:szCs w:val="28"/>
        </w:rPr>
        <w:t>дисс</w:t>
      </w:r>
      <w:proofErr w:type="spellEnd"/>
      <w:r>
        <w:rPr>
          <w:rFonts w:ascii="Times New Roman" w:hAnsi="Times New Roman"/>
          <w:bCs/>
          <w:sz w:val="28"/>
          <w:szCs w:val="28"/>
        </w:rPr>
        <w:t>…</w:t>
      </w:r>
      <w:proofErr w:type="spellStart"/>
      <w:r w:rsidRPr="001B1929">
        <w:rPr>
          <w:rFonts w:ascii="Times New Roman" w:hAnsi="Times New Roman"/>
          <w:bCs/>
          <w:sz w:val="28"/>
          <w:szCs w:val="28"/>
        </w:rPr>
        <w:t>канд.юрид.наук</w:t>
      </w:r>
      <w:proofErr w:type="spellEnd"/>
      <w:r w:rsidRPr="001B1929">
        <w:rPr>
          <w:rFonts w:ascii="Times New Roman" w:hAnsi="Times New Roman"/>
          <w:bCs/>
          <w:sz w:val="28"/>
          <w:szCs w:val="28"/>
        </w:rPr>
        <w:t xml:space="preserve"> / А.А. Клочкова. – М., 2017. – 31 с. </w:t>
      </w:r>
    </w:p>
    <w:p w14:paraId="5A2AD0EE" w14:textId="32335A39" w:rsidR="001B1929" w:rsidRPr="001B1929" w:rsidRDefault="001B1929" w:rsidP="001B1929">
      <w:pPr>
        <w:pStyle w:val="a7"/>
        <w:numPr>
          <w:ilvl w:val="0"/>
          <w:numId w:val="4"/>
        </w:numPr>
        <w:spacing w:after="0" w:line="360" w:lineRule="auto"/>
        <w:ind w:left="0" w:firstLine="567"/>
        <w:jc w:val="both"/>
        <w:rPr>
          <w:rFonts w:ascii="Times New Roman" w:hAnsi="Times New Roman"/>
          <w:bCs/>
          <w:sz w:val="28"/>
          <w:szCs w:val="28"/>
        </w:rPr>
      </w:pPr>
      <w:r w:rsidRPr="001B1929">
        <w:rPr>
          <w:rFonts w:ascii="Times New Roman" w:hAnsi="Times New Roman"/>
          <w:bCs/>
          <w:sz w:val="28"/>
          <w:szCs w:val="28"/>
        </w:rPr>
        <w:t>Омарова, Х.М. Субъект экологического преступления / О.Х. Омарова // Гуманитарные, социально-экономические и общественные науки. -  2019. -  № 5. - С. 182-188.</w:t>
      </w:r>
    </w:p>
    <w:p w14:paraId="03801C89" w14:textId="654945F3" w:rsidR="001B1929" w:rsidRPr="001B1929" w:rsidRDefault="001B1929" w:rsidP="001B1929">
      <w:pPr>
        <w:pStyle w:val="a7"/>
        <w:numPr>
          <w:ilvl w:val="0"/>
          <w:numId w:val="4"/>
        </w:numPr>
        <w:spacing w:after="0" w:line="360" w:lineRule="auto"/>
        <w:ind w:left="0" w:firstLine="567"/>
        <w:jc w:val="both"/>
        <w:rPr>
          <w:rFonts w:ascii="Times New Roman" w:hAnsi="Times New Roman"/>
          <w:bCs/>
          <w:sz w:val="28"/>
          <w:szCs w:val="28"/>
        </w:rPr>
      </w:pPr>
      <w:r w:rsidRPr="001B1929">
        <w:rPr>
          <w:rFonts w:ascii="Times New Roman" w:hAnsi="Times New Roman"/>
          <w:bCs/>
          <w:sz w:val="28"/>
          <w:szCs w:val="28"/>
        </w:rPr>
        <w:t>Приговор Бельского районного суда Тверской области от 19 апреля 2021 года в отношение Л. [Электронный ресурс] Государственная автоматизированная система «Правосудие». https://sudrf.ru. (дата обращения – 26.12.2022)</w:t>
      </w:r>
    </w:p>
    <w:p w14:paraId="1200DAF4" w14:textId="77777777" w:rsidR="0099182B" w:rsidRPr="0099182B" w:rsidRDefault="0099182B" w:rsidP="0099182B">
      <w:pPr>
        <w:spacing w:after="0" w:line="360" w:lineRule="auto"/>
        <w:jc w:val="both"/>
        <w:rPr>
          <w:bCs/>
          <w:szCs w:val="28"/>
        </w:rPr>
      </w:pPr>
    </w:p>
    <w:p w14:paraId="1079DC15" w14:textId="2DFCDDE8" w:rsidR="006B2E9A" w:rsidRPr="007A68C2" w:rsidRDefault="006B2E9A" w:rsidP="006B2E9A">
      <w:pPr>
        <w:spacing w:after="0" w:line="360" w:lineRule="auto"/>
        <w:jc w:val="both"/>
        <w:rPr>
          <w:bCs/>
          <w:szCs w:val="28"/>
        </w:rPr>
      </w:pPr>
    </w:p>
    <w:p w14:paraId="347BE4DE" w14:textId="087EA9BA" w:rsidR="0022238A" w:rsidRPr="00FC0047" w:rsidRDefault="0022238A" w:rsidP="00E36F93">
      <w:pPr>
        <w:spacing w:after="0" w:line="360" w:lineRule="auto"/>
        <w:jc w:val="center"/>
        <w:rPr>
          <w:b/>
          <w:i/>
          <w:sz w:val="22"/>
        </w:rPr>
      </w:pPr>
    </w:p>
    <w:sectPr w:rsidR="0022238A" w:rsidRPr="00FC0047" w:rsidSect="008847E0">
      <w:footerReference w:type="default" r:id="rId8"/>
      <w:pgSz w:w="11906" w:h="16838"/>
      <w:pgMar w:top="1134" w:right="850" w:bottom="1134" w:left="1701" w:header="708" w:footer="708" w:gutter="0"/>
      <w:pgNumType w:start="1"/>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2B692" w14:textId="77777777" w:rsidR="009C2A36" w:rsidRDefault="009C2A36" w:rsidP="007F25BA">
      <w:pPr>
        <w:spacing w:after="0" w:line="240" w:lineRule="auto"/>
      </w:pPr>
      <w:r>
        <w:separator/>
      </w:r>
    </w:p>
  </w:endnote>
  <w:endnote w:type="continuationSeparator" w:id="0">
    <w:p w14:paraId="1C3349E4" w14:textId="77777777" w:rsidR="009C2A36" w:rsidRDefault="009C2A36" w:rsidP="007F2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2656929"/>
      <w:docPartObj>
        <w:docPartGallery w:val="Page Numbers (Bottom of Page)"/>
        <w:docPartUnique/>
      </w:docPartObj>
    </w:sdtPr>
    <w:sdtEndPr/>
    <w:sdtContent>
      <w:p w14:paraId="369432AD" w14:textId="49EF2CBB" w:rsidR="008847E0" w:rsidRDefault="008847E0">
        <w:pPr>
          <w:pStyle w:val="a5"/>
          <w:jc w:val="right"/>
        </w:pPr>
        <w:r>
          <w:fldChar w:fldCharType="begin"/>
        </w:r>
        <w:r>
          <w:instrText>PAGE   \* MERGEFORMAT</w:instrText>
        </w:r>
        <w:r>
          <w:fldChar w:fldCharType="separate"/>
        </w:r>
        <w:r>
          <w:t>2</w:t>
        </w:r>
        <w:r>
          <w:fldChar w:fldCharType="end"/>
        </w:r>
      </w:p>
    </w:sdtContent>
  </w:sdt>
  <w:p w14:paraId="7C6906C6" w14:textId="77777777" w:rsidR="008847E0" w:rsidRDefault="008847E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B9C63" w14:textId="77777777" w:rsidR="009C2A36" w:rsidRDefault="009C2A36" w:rsidP="007F25BA">
      <w:pPr>
        <w:spacing w:after="0" w:line="240" w:lineRule="auto"/>
      </w:pPr>
      <w:r>
        <w:separator/>
      </w:r>
    </w:p>
  </w:footnote>
  <w:footnote w:type="continuationSeparator" w:id="0">
    <w:p w14:paraId="76B47E28" w14:textId="77777777" w:rsidR="009C2A36" w:rsidRDefault="009C2A36" w:rsidP="007F25BA">
      <w:pPr>
        <w:spacing w:after="0" w:line="240" w:lineRule="auto"/>
      </w:pPr>
      <w:r>
        <w:continuationSeparator/>
      </w:r>
    </w:p>
  </w:footnote>
  <w:footnote w:id="1">
    <w:p w14:paraId="0171EBDE" w14:textId="5CEFBDD5" w:rsidR="0036035A" w:rsidRPr="001B1929" w:rsidRDefault="0036035A" w:rsidP="001B1929">
      <w:pPr>
        <w:pStyle w:val="ad"/>
        <w:ind w:firstLine="708"/>
        <w:jc w:val="both"/>
        <w:rPr>
          <w:sz w:val="18"/>
          <w:szCs w:val="18"/>
        </w:rPr>
      </w:pPr>
      <w:r w:rsidRPr="001B1929">
        <w:rPr>
          <w:rStyle w:val="af"/>
          <w:sz w:val="18"/>
          <w:szCs w:val="18"/>
        </w:rPr>
        <w:footnoteRef/>
      </w:r>
      <w:r w:rsidRPr="001B1929">
        <w:rPr>
          <w:sz w:val="18"/>
          <w:szCs w:val="18"/>
        </w:rPr>
        <w:t xml:space="preserve"> Омарова</w:t>
      </w:r>
      <w:r w:rsidR="001B1929" w:rsidRPr="001B1929">
        <w:rPr>
          <w:sz w:val="18"/>
          <w:szCs w:val="18"/>
        </w:rPr>
        <w:t>,</w:t>
      </w:r>
      <w:r w:rsidRPr="001B1929">
        <w:rPr>
          <w:sz w:val="18"/>
          <w:szCs w:val="18"/>
        </w:rPr>
        <w:t xml:space="preserve"> Х.М. Субъект экологического преступления</w:t>
      </w:r>
      <w:r w:rsidR="001B1929" w:rsidRPr="001B1929">
        <w:rPr>
          <w:sz w:val="18"/>
          <w:szCs w:val="18"/>
        </w:rPr>
        <w:t xml:space="preserve"> / О.Х. Омарова</w:t>
      </w:r>
      <w:r w:rsidRPr="001B1929">
        <w:rPr>
          <w:sz w:val="18"/>
          <w:szCs w:val="18"/>
        </w:rPr>
        <w:t xml:space="preserve"> // Гуманитарные, социально-экономические и общественные науки</w:t>
      </w:r>
      <w:r w:rsidR="001B1929" w:rsidRPr="001B1929">
        <w:rPr>
          <w:sz w:val="18"/>
          <w:szCs w:val="18"/>
        </w:rPr>
        <w:t xml:space="preserve">. - </w:t>
      </w:r>
      <w:r w:rsidRPr="001B1929">
        <w:rPr>
          <w:sz w:val="18"/>
          <w:szCs w:val="18"/>
        </w:rPr>
        <w:t xml:space="preserve"> 2019</w:t>
      </w:r>
      <w:r w:rsidR="001B1929" w:rsidRPr="001B1929">
        <w:rPr>
          <w:sz w:val="18"/>
          <w:szCs w:val="18"/>
        </w:rPr>
        <w:t xml:space="preserve">. - </w:t>
      </w:r>
      <w:r w:rsidRPr="001B1929">
        <w:rPr>
          <w:sz w:val="18"/>
          <w:szCs w:val="18"/>
        </w:rPr>
        <w:t xml:space="preserve"> № 5</w:t>
      </w:r>
      <w:r w:rsidR="001B1929" w:rsidRPr="001B1929">
        <w:rPr>
          <w:sz w:val="18"/>
          <w:szCs w:val="18"/>
        </w:rPr>
        <w:t xml:space="preserve">. - </w:t>
      </w:r>
      <w:r w:rsidRPr="001B1929">
        <w:rPr>
          <w:sz w:val="18"/>
          <w:szCs w:val="18"/>
        </w:rPr>
        <w:t>С. 184.</w:t>
      </w:r>
    </w:p>
  </w:footnote>
  <w:footnote w:id="2">
    <w:p w14:paraId="338D8777" w14:textId="67588AA9" w:rsidR="00AE273F" w:rsidRPr="001B1929" w:rsidRDefault="00AE273F" w:rsidP="001B1929">
      <w:pPr>
        <w:pStyle w:val="ad"/>
        <w:ind w:firstLine="708"/>
        <w:jc w:val="both"/>
        <w:rPr>
          <w:sz w:val="18"/>
          <w:szCs w:val="18"/>
        </w:rPr>
      </w:pPr>
      <w:r w:rsidRPr="001B1929">
        <w:rPr>
          <w:rStyle w:val="af"/>
          <w:sz w:val="18"/>
          <w:szCs w:val="18"/>
        </w:rPr>
        <w:footnoteRef/>
      </w:r>
      <w:r w:rsidRPr="001B1929">
        <w:rPr>
          <w:sz w:val="18"/>
          <w:szCs w:val="18"/>
        </w:rPr>
        <w:t xml:space="preserve"> </w:t>
      </w:r>
      <w:r w:rsidR="001B1929" w:rsidRPr="001B1929">
        <w:rPr>
          <w:sz w:val="18"/>
          <w:szCs w:val="18"/>
        </w:rPr>
        <w:t>Александрова Н.С. Уголовная ответственность за порчу земли: проблемы правоприменения / Н.С. Александрова // Известия Оренбургского государственного аграрного университета. – 2019. - № 4. – С. 67.</w:t>
      </w:r>
    </w:p>
  </w:footnote>
  <w:footnote w:id="3">
    <w:p w14:paraId="6B96E521" w14:textId="29159A5A" w:rsidR="003D56FE" w:rsidRPr="001B1929" w:rsidRDefault="003D56FE" w:rsidP="001B1929">
      <w:pPr>
        <w:pStyle w:val="ad"/>
        <w:ind w:firstLine="708"/>
        <w:jc w:val="both"/>
        <w:rPr>
          <w:sz w:val="18"/>
          <w:szCs w:val="18"/>
        </w:rPr>
      </w:pPr>
      <w:r w:rsidRPr="001B1929">
        <w:rPr>
          <w:rStyle w:val="af"/>
          <w:sz w:val="18"/>
          <w:szCs w:val="18"/>
        </w:rPr>
        <w:footnoteRef/>
      </w:r>
      <w:r w:rsidRPr="001B1929">
        <w:rPr>
          <w:sz w:val="18"/>
          <w:szCs w:val="18"/>
        </w:rPr>
        <w:t xml:space="preserve"> Клочкова А.А. Уголовная ответственность за порчу земли:</w:t>
      </w:r>
      <w:r w:rsidR="00AE273F" w:rsidRPr="001B1929">
        <w:rPr>
          <w:sz w:val="18"/>
          <w:szCs w:val="18"/>
        </w:rPr>
        <w:t xml:space="preserve"> автореферат </w:t>
      </w:r>
      <w:proofErr w:type="spellStart"/>
      <w:proofErr w:type="gramStart"/>
      <w:r w:rsidR="00AE273F" w:rsidRPr="001B1929">
        <w:rPr>
          <w:sz w:val="18"/>
          <w:szCs w:val="18"/>
        </w:rPr>
        <w:t>дисс</w:t>
      </w:r>
      <w:proofErr w:type="spellEnd"/>
      <w:r w:rsidR="00AE273F" w:rsidRPr="001B1929">
        <w:rPr>
          <w:sz w:val="18"/>
          <w:szCs w:val="18"/>
        </w:rPr>
        <w:t>..</w:t>
      </w:r>
      <w:proofErr w:type="spellStart"/>
      <w:proofErr w:type="gramEnd"/>
      <w:r w:rsidR="00AE273F" w:rsidRPr="001B1929">
        <w:rPr>
          <w:sz w:val="18"/>
          <w:szCs w:val="18"/>
        </w:rPr>
        <w:t>канд.юрид.наук</w:t>
      </w:r>
      <w:proofErr w:type="spellEnd"/>
      <w:r w:rsidR="001B1929" w:rsidRPr="001B1929">
        <w:rPr>
          <w:sz w:val="18"/>
          <w:szCs w:val="18"/>
        </w:rPr>
        <w:t xml:space="preserve"> / А.А. Клочкова</w:t>
      </w:r>
      <w:r w:rsidR="00AE273F" w:rsidRPr="001B1929">
        <w:rPr>
          <w:sz w:val="18"/>
          <w:szCs w:val="18"/>
        </w:rPr>
        <w:t xml:space="preserve">. – М., 2017. – С.13. </w:t>
      </w:r>
    </w:p>
  </w:footnote>
  <w:footnote w:id="4">
    <w:p w14:paraId="613744C5" w14:textId="57D63DBE" w:rsidR="0036035A" w:rsidRPr="001B1929" w:rsidRDefault="0036035A" w:rsidP="001B1929">
      <w:pPr>
        <w:pStyle w:val="ad"/>
        <w:ind w:firstLine="708"/>
        <w:jc w:val="both"/>
        <w:rPr>
          <w:sz w:val="18"/>
          <w:szCs w:val="18"/>
        </w:rPr>
      </w:pPr>
      <w:r w:rsidRPr="001B1929">
        <w:rPr>
          <w:rStyle w:val="af"/>
          <w:sz w:val="18"/>
          <w:szCs w:val="18"/>
        </w:rPr>
        <w:footnoteRef/>
      </w:r>
      <w:r w:rsidRPr="001B1929">
        <w:rPr>
          <w:sz w:val="18"/>
          <w:szCs w:val="18"/>
        </w:rPr>
        <w:t xml:space="preserve"> Приговор Бельского районного суда Тверской области от 19 апреля 2021 года в отношение Л. </w:t>
      </w:r>
      <w:r w:rsidR="00AE273F" w:rsidRPr="001B1929">
        <w:rPr>
          <w:sz w:val="18"/>
          <w:szCs w:val="18"/>
        </w:rPr>
        <w:t>[Электронный ресурс] Государственная автоматизированная система «Правосудие». https://sudrf.ru. (дата обращения – 26.12.2022)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26584"/>
    <w:multiLevelType w:val="hybridMultilevel"/>
    <w:tmpl w:val="A16AF5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AFC6E16"/>
    <w:multiLevelType w:val="hybridMultilevel"/>
    <w:tmpl w:val="44A25D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43729A3"/>
    <w:multiLevelType w:val="hybridMultilevel"/>
    <w:tmpl w:val="137CE1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9E4659A"/>
    <w:multiLevelType w:val="hybridMultilevel"/>
    <w:tmpl w:val="1632C2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5BA"/>
    <w:rsid w:val="0015790B"/>
    <w:rsid w:val="001A5017"/>
    <w:rsid w:val="001B1929"/>
    <w:rsid w:val="001D3187"/>
    <w:rsid w:val="00213B08"/>
    <w:rsid w:val="0022238A"/>
    <w:rsid w:val="00224F7A"/>
    <w:rsid w:val="002311FE"/>
    <w:rsid w:val="002738AC"/>
    <w:rsid w:val="002F025E"/>
    <w:rsid w:val="0036035A"/>
    <w:rsid w:val="003D56FE"/>
    <w:rsid w:val="00445E60"/>
    <w:rsid w:val="0054374C"/>
    <w:rsid w:val="005D3FEB"/>
    <w:rsid w:val="006B2E9A"/>
    <w:rsid w:val="006F2AAA"/>
    <w:rsid w:val="00714B88"/>
    <w:rsid w:val="00730105"/>
    <w:rsid w:val="007358A6"/>
    <w:rsid w:val="00750022"/>
    <w:rsid w:val="00760784"/>
    <w:rsid w:val="007A68C2"/>
    <w:rsid w:val="007B0C25"/>
    <w:rsid w:val="007F25BA"/>
    <w:rsid w:val="0080390C"/>
    <w:rsid w:val="00807E79"/>
    <w:rsid w:val="008847E0"/>
    <w:rsid w:val="00972665"/>
    <w:rsid w:val="009817B6"/>
    <w:rsid w:val="0099182B"/>
    <w:rsid w:val="009C2A36"/>
    <w:rsid w:val="00AC4441"/>
    <w:rsid w:val="00AE273F"/>
    <w:rsid w:val="00B148B4"/>
    <w:rsid w:val="00C364FE"/>
    <w:rsid w:val="00C577D6"/>
    <w:rsid w:val="00C708F1"/>
    <w:rsid w:val="00C77640"/>
    <w:rsid w:val="00C864E9"/>
    <w:rsid w:val="00D40A0E"/>
    <w:rsid w:val="00D64E46"/>
    <w:rsid w:val="00D740EA"/>
    <w:rsid w:val="00DB0BFE"/>
    <w:rsid w:val="00DE6101"/>
    <w:rsid w:val="00E01AE4"/>
    <w:rsid w:val="00E36F93"/>
    <w:rsid w:val="00E4463A"/>
    <w:rsid w:val="00E86F93"/>
    <w:rsid w:val="00EA715E"/>
    <w:rsid w:val="00F84F1F"/>
    <w:rsid w:val="00F9548F"/>
    <w:rsid w:val="00FB569D"/>
    <w:rsid w:val="00FC0047"/>
    <w:rsid w:val="00FE24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E48CB"/>
  <w15:docId w15:val="{B53F3987-2F65-438C-86E1-A2DA49A5A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25BA"/>
    <w:pPr>
      <w:spacing w:after="200" w:line="276" w:lineRule="auto"/>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25B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F25BA"/>
    <w:rPr>
      <w:rFonts w:ascii="Times New Roman" w:hAnsi="Times New Roman" w:cs="Times New Roman"/>
      <w:sz w:val="28"/>
    </w:rPr>
  </w:style>
  <w:style w:type="paragraph" w:styleId="a5">
    <w:name w:val="footer"/>
    <w:basedOn w:val="a"/>
    <w:link w:val="a6"/>
    <w:uiPriority w:val="99"/>
    <w:unhideWhenUsed/>
    <w:rsid w:val="007F25B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F25BA"/>
    <w:rPr>
      <w:rFonts w:ascii="Times New Roman" w:hAnsi="Times New Roman" w:cs="Times New Roman"/>
      <w:sz w:val="28"/>
    </w:rPr>
  </w:style>
  <w:style w:type="paragraph" w:styleId="a7">
    <w:name w:val="List Paragraph"/>
    <w:basedOn w:val="a"/>
    <w:uiPriority w:val="34"/>
    <w:qFormat/>
    <w:rsid w:val="00E36F93"/>
    <w:pPr>
      <w:ind w:left="720"/>
      <w:contextualSpacing/>
    </w:pPr>
    <w:rPr>
      <w:rFonts w:ascii="Calibri" w:eastAsia="Calibri" w:hAnsi="Calibri"/>
      <w:sz w:val="22"/>
    </w:rPr>
  </w:style>
  <w:style w:type="table" w:styleId="a8">
    <w:name w:val="Table Grid"/>
    <w:basedOn w:val="a1"/>
    <w:uiPriority w:val="59"/>
    <w:rsid w:val="00E36F9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link w:val="aa"/>
    <w:rsid w:val="00E36F93"/>
    <w:pPr>
      <w:spacing w:after="0" w:line="240" w:lineRule="auto"/>
      <w:jc w:val="both"/>
    </w:pPr>
    <w:rPr>
      <w:rFonts w:eastAsia="Times New Roman"/>
      <w:szCs w:val="28"/>
      <w:lang w:eastAsia="ru-RU"/>
    </w:rPr>
  </w:style>
  <w:style w:type="character" w:customStyle="1" w:styleId="aa">
    <w:name w:val="Основной текст с отступом Знак"/>
    <w:basedOn w:val="a0"/>
    <w:link w:val="a9"/>
    <w:rsid w:val="00E36F93"/>
    <w:rPr>
      <w:rFonts w:ascii="Times New Roman" w:eastAsia="Times New Roman" w:hAnsi="Times New Roman" w:cs="Times New Roman"/>
      <w:sz w:val="28"/>
      <w:szCs w:val="28"/>
      <w:lang w:eastAsia="ru-RU"/>
    </w:rPr>
  </w:style>
  <w:style w:type="character" w:styleId="ab">
    <w:name w:val="Hyperlink"/>
    <w:basedOn w:val="a0"/>
    <w:uiPriority w:val="99"/>
    <w:unhideWhenUsed/>
    <w:rsid w:val="00807E79"/>
    <w:rPr>
      <w:color w:val="0563C1" w:themeColor="hyperlink"/>
      <w:u w:val="single"/>
    </w:rPr>
  </w:style>
  <w:style w:type="character" w:styleId="ac">
    <w:name w:val="FollowedHyperlink"/>
    <w:basedOn w:val="a0"/>
    <w:uiPriority w:val="99"/>
    <w:semiHidden/>
    <w:unhideWhenUsed/>
    <w:rsid w:val="00807E79"/>
    <w:rPr>
      <w:color w:val="954F72" w:themeColor="followedHyperlink"/>
      <w:u w:val="single"/>
    </w:rPr>
  </w:style>
  <w:style w:type="paragraph" w:styleId="ad">
    <w:name w:val="footnote text"/>
    <w:aliases w:val=" Знак, Знак Знак,Текст сноски Знак Знак,Текст сноски Знак1 Знак Знак,Текст сноски Знак Знак Знак Знак,Текст сноски Знак1 Знак Знак Знак Знак,Текст сноски Знак Знак Знак Знак Знак Знак,Знак Знак Знак,Текст сноски-FN,Char Знак,Знак,Знак Знак"/>
    <w:basedOn w:val="a"/>
    <w:link w:val="ae"/>
    <w:uiPriority w:val="99"/>
    <w:unhideWhenUsed/>
    <w:qFormat/>
    <w:rsid w:val="00AC4441"/>
    <w:pPr>
      <w:spacing w:after="0" w:line="240" w:lineRule="auto"/>
    </w:pPr>
    <w:rPr>
      <w:sz w:val="20"/>
      <w:szCs w:val="20"/>
    </w:rPr>
  </w:style>
  <w:style w:type="character" w:customStyle="1" w:styleId="ae">
    <w:name w:val="Текст сноски Знак"/>
    <w:aliases w:val=" Знак Знак1, Знак Знак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Char Знак Знак"/>
    <w:basedOn w:val="a0"/>
    <w:link w:val="ad"/>
    <w:uiPriority w:val="99"/>
    <w:semiHidden/>
    <w:rsid w:val="00AC4441"/>
    <w:rPr>
      <w:rFonts w:ascii="Times New Roman" w:hAnsi="Times New Roman" w:cs="Times New Roman"/>
      <w:sz w:val="20"/>
      <w:szCs w:val="20"/>
    </w:rPr>
  </w:style>
  <w:style w:type="character" w:styleId="af">
    <w:name w:val="footnote reference"/>
    <w:aliases w:val="Footnotes refss,Ciae niinee I,Appel note de bas de page"/>
    <w:basedOn w:val="a0"/>
    <w:uiPriority w:val="99"/>
    <w:unhideWhenUsed/>
    <w:qFormat/>
    <w:rsid w:val="00AC4441"/>
    <w:rPr>
      <w:vertAlign w:val="superscript"/>
    </w:rPr>
  </w:style>
  <w:style w:type="character" w:customStyle="1" w:styleId="1">
    <w:name w:val="Текст сноски Знак1"/>
    <w:aliases w:val=" Знак Знак2, Знак Знак Знак1,Текст сноски Знак Знак Знак1,Текст сноски Знак1 Знак Знак Знак1,Текст сноски Знак Знак Знак Знак Знак1,Текст сноски Знак1 Знак Знак Знак Знак Знак1,Текст сноски Знак Знак Знак Знак Знак Знак Знак1"/>
    <w:basedOn w:val="a0"/>
    <w:uiPriority w:val="99"/>
    <w:locked/>
    <w:rsid w:val="002F025E"/>
    <w:rPr>
      <w:rFonts w:cs="Times New Roman"/>
      <w:sz w:val="20"/>
      <w:szCs w:val="20"/>
    </w:rPr>
  </w:style>
  <w:style w:type="character" w:styleId="af0">
    <w:name w:val="Unresolved Mention"/>
    <w:basedOn w:val="a0"/>
    <w:uiPriority w:val="99"/>
    <w:semiHidden/>
    <w:unhideWhenUsed/>
    <w:rsid w:val="009918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342224">
      <w:bodyDiv w:val="1"/>
      <w:marLeft w:val="0"/>
      <w:marRight w:val="0"/>
      <w:marTop w:val="0"/>
      <w:marBottom w:val="0"/>
      <w:divBdr>
        <w:top w:val="none" w:sz="0" w:space="0" w:color="auto"/>
        <w:left w:val="none" w:sz="0" w:space="0" w:color="auto"/>
        <w:bottom w:val="none" w:sz="0" w:space="0" w:color="auto"/>
        <w:right w:val="none" w:sz="0" w:space="0" w:color="auto"/>
      </w:divBdr>
    </w:div>
    <w:div w:id="836506435">
      <w:bodyDiv w:val="1"/>
      <w:marLeft w:val="0"/>
      <w:marRight w:val="0"/>
      <w:marTop w:val="0"/>
      <w:marBottom w:val="0"/>
      <w:divBdr>
        <w:top w:val="none" w:sz="0" w:space="0" w:color="auto"/>
        <w:left w:val="none" w:sz="0" w:space="0" w:color="auto"/>
        <w:bottom w:val="none" w:sz="0" w:space="0" w:color="auto"/>
        <w:right w:val="none" w:sz="0" w:space="0" w:color="auto"/>
      </w:divBdr>
    </w:div>
    <w:div w:id="96816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A470C-A556-46AF-94BA-CBCF83A11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Pages>
  <Words>1405</Words>
  <Characters>8015</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365 Pro Plus</cp:lastModifiedBy>
  <cp:revision>3</cp:revision>
  <dcterms:created xsi:type="dcterms:W3CDTF">2022-11-30T17:02:00Z</dcterms:created>
  <dcterms:modified xsi:type="dcterms:W3CDTF">2022-12-28T11:24:00Z</dcterms:modified>
</cp:coreProperties>
</file>