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D5" w:rsidRPr="00F34844" w:rsidRDefault="004601D5" w:rsidP="00597C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844">
        <w:rPr>
          <w:rFonts w:ascii="Times New Roman" w:hAnsi="Times New Roman" w:cs="Times New Roman"/>
          <w:b/>
          <w:sz w:val="26"/>
          <w:szCs w:val="26"/>
        </w:rPr>
        <w:t>Механизм осуществления последующего контроля</w:t>
      </w:r>
      <w:r w:rsidR="003115E0">
        <w:rPr>
          <w:rFonts w:ascii="Times New Roman" w:hAnsi="Times New Roman" w:cs="Times New Roman"/>
          <w:b/>
          <w:sz w:val="26"/>
          <w:szCs w:val="26"/>
        </w:rPr>
        <w:t xml:space="preserve"> и его эффективность</w:t>
      </w:r>
      <w:r w:rsidRPr="00F34844">
        <w:rPr>
          <w:rFonts w:ascii="Times New Roman" w:hAnsi="Times New Roman" w:cs="Times New Roman"/>
          <w:b/>
          <w:sz w:val="26"/>
          <w:szCs w:val="26"/>
        </w:rPr>
        <w:t xml:space="preserve"> на примере контрольно-ре</w:t>
      </w:r>
      <w:r w:rsidR="003115E0">
        <w:rPr>
          <w:rFonts w:ascii="Times New Roman" w:hAnsi="Times New Roman" w:cs="Times New Roman"/>
          <w:b/>
          <w:sz w:val="26"/>
          <w:szCs w:val="26"/>
        </w:rPr>
        <w:t>визионного управления Главного у</w:t>
      </w:r>
      <w:r w:rsidRPr="00F34844">
        <w:rPr>
          <w:rFonts w:ascii="Times New Roman" w:hAnsi="Times New Roman" w:cs="Times New Roman"/>
          <w:b/>
          <w:sz w:val="26"/>
          <w:szCs w:val="26"/>
        </w:rPr>
        <w:t>правления Министерства финансов Республики Беларусь по Витебской области</w:t>
      </w:r>
    </w:p>
    <w:p w:rsidR="00A518F9" w:rsidRDefault="00597C67" w:rsidP="0059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Волович Карина Игоревна, студентка 4 курса факультета финансов и банковского дела, БГЭУ</w:t>
      </w:r>
    </w:p>
    <w:p w:rsidR="00597C67" w:rsidRPr="00597C67" w:rsidRDefault="00597C67" w:rsidP="0059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Миленин</w:t>
      </w:r>
      <w:proofErr w:type="spellEnd"/>
      <w:r>
        <w:rPr>
          <w:rFonts w:ascii="Times New Roman" w:hAnsi="Times New Roman" w:cs="Times New Roman"/>
          <w:sz w:val="24"/>
        </w:rPr>
        <w:t xml:space="preserve"> Михаил Владимирович – ассистент кафедры финансов БГЭУ</w:t>
      </w:r>
    </w:p>
    <w:p w:rsidR="00597C67" w:rsidRDefault="00597C67" w:rsidP="00460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230D" w:rsidRDefault="003115E0" w:rsidP="00215E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3115E0">
        <w:rPr>
          <w:rFonts w:ascii="Times New Roman" w:hAnsi="Times New Roman" w:cs="Times New Roman"/>
          <w:b/>
          <w:i/>
          <w:sz w:val="24"/>
        </w:rPr>
        <w:t>Аннотация</w:t>
      </w:r>
      <w:r w:rsidR="00423C13">
        <w:rPr>
          <w:rFonts w:ascii="Times New Roman" w:hAnsi="Times New Roman" w:cs="Times New Roman"/>
          <w:b/>
          <w:i/>
          <w:sz w:val="24"/>
        </w:rPr>
        <w:t>.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3115E0">
        <w:rPr>
          <w:rFonts w:ascii="Times New Roman" w:hAnsi="Times New Roman" w:cs="Times New Roman"/>
          <w:i/>
          <w:color w:val="000000" w:themeColor="text1"/>
          <w:sz w:val="24"/>
        </w:rPr>
        <w:t>В статье рассмотрен механизм осуществления последующего контроля, а также его эффективность на основе анализа результатов работы контрольно-ревизионного управления Главного управления Министерства финансов Республики Беларусь за 2019-2021 годы,</w:t>
      </w:r>
      <w:r w:rsidR="00423C13">
        <w:rPr>
          <w:rFonts w:ascii="Times New Roman" w:hAnsi="Times New Roman" w:cs="Times New Roman"/>
          <w:i/>
          <w:color w:val="000000" w:themeColor="text1"/>
          <w:sz w:val="24"/>
        </w:rPr>
        <w:t xml:space="preserve"> рассмотрены основания для выбора объектов проверки, определены какие нарушения занимают наибольший удельный вес среди нарушений бюджетного законодательства, </w:t>
      </w:r>
      <w:r w:rsidRPr="003115E0">
        <w:rPr>
          <w:rFonts w:ascii="Times New Roman" w:hAnsi="Times New Roman" w:cs="Times New Roman"/>
          <w:i/>
          <w:color w:val="000000" w:themeColor="text1"/>
          <w:sz w:val="24"/>
        </w:rPr>
        <w:t>выявлены основные причины, по которым субъектами допускаются нарушения.</w:t>
      </w:r>
    </w:p>
    <w:p w:rsidR="00215EFB" w:rsidRPr="00215EFB" w:rsidRDefault="00215EFB" w:rsidP="00215E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bookmarkStart w:id="0" w:name="_GoBack"/>
      <w:bookmarkEnd w:id="0"/>
    </w:p>
    <w:p w:rsidR="00D5230D" w:rsidRPr="00D5230D" w:rsidRDefault="00D5230D" w:rsidP="004601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D5230D">
        <w:rPr>
          <w:rFonts w:ascii="Times New Roman" w:hAnsi="Times New Roman" w:cs="Times New Roman"/>
          <w:b/>
          <w:i/>
          <w:color w:val="000000" w:themeColor="text1"/>
          <w:sz w:val="24"/>
        </w:rPr>
        <w:t>Ключевые слова: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D5230D">
        <w:rPr>
          <w:rFonts w:ascii="Times New Roman" w:hAnsi="Times New Roman" w:cs="Times New Roman"/>
          <w:i/>
          <w:color w:val="000000" w:themeColor="text1"/>
          <w:sz w:val="24"/>
        </w:rPr>
        <w:t>последующий контроль,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D5230D">
        <w:rPr>
          <w:rFonts w:ascii="Times New Roman" w:hAnsi="Times New Roman" w:cs="Times New Roman"/>
          <w:i/>
          <w:color w:val="000000" w:themeColor="text1"/>
          <w:sz w:val="24"/>
        </w:rPr>
        <w:t>выборочная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</w:rPr>
        <w:t>проверка, нарушения,</w:t>
      </w:r>
      <w:r w:rsidR="005170B9">
        <w:rPr>
          <w:rFonts w:ascii="Times New Roman" w:hAnsi="Times New Roman" w:cs="Times New Roman"/>
          <w:i/>
          <w:color w:val="000000" w:themeColor="text1"/>
          <w:sz w:val="24"/>
        </w:rPr>
        <w:t xml:space="preserve"> неэффективное использование бюджетных средств.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</w:p>
    <w:p w:rsidR="003115E0" w:rsidRPr="00D5230D" w:rsidRDefault="003115E0" w:rsidP="00D5230D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4601D5" w:rsidRPr="00597C67" w:rsidRDefault="004601D5" w:rsidP="00460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67">
        <w:rPr>
          <w:rFonts w:ascii="Times New Roman" w:hAnsi="Times New Roman" w:cs="Times New Roman"/>
          <w:sz w:val="24"/>
          <w:szCs w:val="24"/>
        </w:rPr>
        <w:t>Контрольно-ревизионное управление Главного управления Министерства финансов Республики Беларусь по Витебской области (далее – контрольно-ревизионное управление) является структурным подразделением Главного управления Министерства финансов Республики Беларусь по Витебской области</w:t>
      </w:r>
      <w:r w:rsidR="00F34844">
        <w:rPr>
          <w:rFonts w:ascii="Times New Roman" w:hAnsi="Times New Roman" w:cs="Times New Roman"/>
          <w:sz w:val="24"/>
          <w:szCs w:val="24"/>
        </w:rPr>
        <w:t xml:space="preserve"> (далее – Главное управление)</w:t>
      </w:r>
      <w:r w:rsidRPr="00597C67">
        <w:rPr>
          <w:rFonts w:ascii="Times New Roman" w:hAnsi="Times New Roman" w:cs="Times New Roman"/>
          <w:sz w:val="24"/>
          <w:szCs w:val="24"/>
        </w:rPr>
        <w:t>, осуществляющим контроль за использованием бюджетных и иных государственных средств.</w:t>
      </w:r>
    </w:p>
    <w:p w:rsidR="00EC539A" w:rsidRPr="00597C67" w:rsidRDefault="00EC539A" w:rsidP="00EC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67">
        <w:rPr>
          <w:rFonts w:ascii="Times New Roman" w:hAnsi="Times New Roman" w:cs="Times New Roman"/>
          <w:sz w:val="24"/>
          <w:szCs w:val="24"/>
        </w:rPr>
        <w:t>Возложенные на органы контрольно-ревизионного управления обязанности и предоставленные права дают возможность наладить действенный контроль за использованием бюджетных средств на последующем</w:t>
      </w:r>
      <w:r w:rsidR="00C50C26" w:rsidRPr="00597C67">
        <w:rPr>
          <w:rFonts w:ascii="Times New Roman" w:hAnsi="Times New Roman" w:cs="Times New Roman"/>
          <w:sz w:val="24"/>
          <w:szCs w:val="24"/>
        </w:rPr>
        <w:t xml:space="preserve"> этапе, т.</w:t>
      </w:r>
      <w:r w:rsidRPr="00597C67">
        <w:rPr>
          <w:rFonts w:ascii="Times New Roman" w:hAnsi="Times New Roman" w:cs="Times New Roman"/>
          <w:sz w:val="24"/>
          <w:szCs w:val="24"/>
        </w:rPr>
        <w:t>е. контроль, осуществляемый после совершения финансовых операций.</w:t>
      </w:r>
    </w:p>
    <w:p w:rsidR="00EC539A" w:rsidRPr="00597C67" w:rsidRDefault="00EC539A" w:rsidP="00EC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67">
        <w:rPr>
          <w:rFonts w:ascii="Times New Roman" w:hAnsi="Times New Roman" w:cs="Times New Roman"/>
          <w:sz w:val="24"/>
          <w:szCs w:val="24"/>
        </w:rPr>
        <w:t xml:space="preserve">Для лучшего понимания актуальности последующего контроля проанализируем </w:t>
      </w:r>
      <w:r w:rsidR="00541D2D" w:rsidRPr="00597C67">
        <w:rPr>
          <w:rFonts w:ascii="Times New Roman" w:hAnsi="Times New Roman" w:cs="Times New Roman"/>
          <w:sz w:val="24"/>
          <w:szCs w:val="24"/>
        </w:rPr>
        <w:t>результаты работы контрольно-ревизионного управления за 2019-2021 года.</w:t>
      </w:r>
    </w:p>
    <w:p w:rsidR="008D4AB3" w:rsidRDefault="008D4AB3" w:rsidP="008D4AB3">
      <w:pPr>
        <w:tabs>
          <w:tab w:val="left" w:pos="8100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D4AB3" w:rsidRPr="008D4AB3" w:rsidRDefault="008D4AB3" w:rsidP="00637F6E">
      <w:pPr>
        <w:tabs>
          <w:tab w:val="left" w:pos="810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AB3">
        <w:rPr>
          <w:rFonts w:ascii="Times New Roman" w:hAnsi="Times New Roman" w:cs="Times New Roman"/>
          <w:b/>
          <w:sz w:val="24"/>
          <w:szCs w:val="24"/>
        </w:rPr>
        <w:t>Таблица 1 – Результаты работы контрольно-ревизионн</w:t>
      </w:r>
      <w:r w:rsidR="00637F6E">
        <w:rPr>
          <w:rFonts w:ascii="Times New Roman" w:hAnsi="Times New Roman" w:cs="Times New Roman"/>
          <w:b/>
          <w:sz w:val="24"/>
          <w:szCs w:val="24"/>
        </w:rPr>
        <w:t>ого управления за 2019-2021 гг.</w:t>
      </w:r>
    </w:p>
    <w:p w:rsidR="008D4AB3" w:rsidRDefault="008D4AB3" w:rsidP="00F34844">
      <w:pPr>
        <w:tabs>
          <w:tab w:val="left" w:pos="810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AB3">
        <w:rPr>
          <w:rFonts w:ascii="Times New Roman" w:hAnsi="Times New Roman" w:cs="Times New Roman"/>
          <w:b/>
          <w:sz w:val="24"/>
          <w:szCs w:val="24"/>
        </w:rPr>
        <w:t>Примечание – Источник: собственная</w:t>
      </w:r>
      <w:r w:rsidR="00AB7C9D">
        <w:rPr>
          <w:rFonts w:ascii="Times New Roman" w:hAnsi="Times New Roman" w:cs="Times New Roman"/>
          <w:b/>
          <w:sz w:val="24"/>
          <w:szCs w:val="24"/>
        </w:rPr>
        <w:t xml:space="preserve"> разработка</w:t>
      </w:r>
    </w:p>
    <w:p w:rsidR="00541D2D" w:rsidRPr="00597C67" w:rsidRDefault="00541D2D" w:rsidP="00D5230D">
      <w:pPr>
        <w:tabs>
          <w:tab w:val="left" w:pos="810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11" w:type="dxa"/>
        <w:tblLook w:val="04A0" w:firstRow="1" w:lastRow="0" w:firstColumn="1" w:lastColumn="0" w:noHBand="0" w:noVBand="1"/>
      </w:tblPr>
      <w:tblGrid>
        <w:gridCol w:w="4756"/>
        <w:gridCol w:w="1731"/>
        <w:gridCol w:w="1587"/>
        <w:gridCol w:w="1437"/>
      </w:tblGrid>
      <w:tr w:rsidR="00541D2D" w:rsidRPr="008D4AB3" w:rsidTr="008D4AB3">
        <w:trPr>
          <w:trHeight w:val="504"/>
        </w:trPr>
        <w:tc>
          <w:tcPr>
            <w:tcW w:w="4756" w:type="dxa"/>
          </w:tcPr>
          <w:p w:rsidR="00541D2D" w:rsidRDefault="00541D2D" w:rsidP="00EC539A">
            <w:pPr>
              <w:jc w:val="both"/>
              <w:rPr>
                <w:rFonts w:ascii="Times New Roman" w:hAnsi="Times New Roman" w:cs="Times New Roman"/>
              </w:rPr>
            </w:pPr>
          </w:p>
          <w:p w:rsidR="008D4AB3" w:rsidRPr="008D4AB3" w:rsidRDefault="008D4AB3" w:rsidP="00EC53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541D2D" w:rsidRPr="008D4AB3" w:rsidRDefault="00541D2D" w:rsidP="008D4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AB3">
              <w:rPr>
                <w:rFonts w:ascii="Times New Roman" w:hAnsi="Times New Roman" w:cs="Times New Roman"/>
                <w:b/>
              </w:rPr>
              <w:t>2019</w:t>
            </w:r>
            <w:r w:rsidR="008D4AB3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1587" w:type="dxa"/>
            <w:vAlign w:val="center"/>
          </w:tcPr>
          <w:p w:rsidR="00541D2D" w:rsidRPr="008D4AB3" w:rsidRDefault="00541D2D" w:rsidP="008D4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AB3">
              <w:rPr>
                <w:rFonts w:ascii="Times New Roman" w:hAnsi="Times New Roman" w:cs="Times New Roman"/>
                <w:b/>
              </w:rPr>
              <w:t>2020</w:t>
            </w:r>
            <w:r w:rsidR="008D4AB3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1437" w:type="dxa"/>
            <w:vAlign w:val="center"/>
          </w:tcPr>
          <w:p w:rsidR="00541D2D" w:rsidRPr="008D4AB3" w:rsidRDefault="00541D2D" w:rsidP="008D4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AB3">
              <w:rPr>
                <w:rFonts w:ascii="Times New Roman" w:hAnsi="Times New Roman" w:cs="Times New Roman"/>
                <w:b/>
              </w:rPr>
              <w:t>2021</w:t>
            </w:r>
            <w:r w:rsidR="008D4AB3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</w:tr>
      <w:tr w:rsidR="00541D2D" w:rsidRPr="008D4AB3" w:rsidTr="008D4AB3">
        <w:trPr>
          <w:trHeight w:val="252"/>
        </w:trPr>
        <w:tc>
          <w:tcPr>
            <w:tcW w:w="4756" w:type="dxa"/>
          </w:tcPr>
          <w:p w:rsidR="00541D2D" w:rsidRPr="008D4AB3" w:rsidRDefault="00541D2D" w:rsidP="00EC539A">
            <w:pPr>
              <w:jc w:val="both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Общее количество проведенных проверок, ед.</w:t>
            </w:r>
          </w:p>
        </w:tc>
        <w:tc>
          <w:tcPr>
            <w:tcW w:w="1731" w:type="dxa"/>
            <w:vAlign w:val="center"/>
          </w:tcPr>
          <w:p w:rsidR="00541D2D" w:rsidRPr="008D4AB3" w:rsidRDefault="00597C67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87" w:type="dxa"/>
            <w:vAlign w:val="center"/>
          </w:tcPr>
          <w:p w:rsidR="00541D2D" w:rsidRPr="008D4AB3" w:rsidRDefault="00597C67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37" w:type="dxa"/>
            <w:vAlign w:val="center"/>
          </w:tcPr>
          <w:p w:rsidR="00541D2D" w:rsidRPr="008D4AB3" w:rsidRDefault="00597C67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95</w:t>
            </w:r>
          </w:p>
        </w:tc>
      </w:tr>
      <w:tr w:rsidR="00541D2D" w:rsidRPr="008D4AB3" w:rsidTr="00D5230D">
        <w:trPr>
          <w:trHeight w:val="1091"/>
        </w:trPr>
        <w:tc>
          <w:tcPr>
            <w:tcW w:w="4756" w:type="dxa"/>
          </w:tcPr>
          <w:p w:rsidR="00541D2D" w:rsidRPr="008D4AB3" w:rsidRDefault="00541D2D" w:rsidP="00EC539A">
            <w:pPr>
              <w:jc w:val="both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Выявлено нарушений бюджетного законодательства, использования материальных ресурсов, вреда (других, нарушений), недостач материальных ценностей, тыс. рублей</w:t>
            </w:r>
          </w:p>
        </w:tc>
        <w:tc>
          <w:tcPr>
            <w:tcW w:w="1731" w:type="dxa"/>
            <w:vAlign w:val="center"/>
          </w:tcPr>
          <w:p w:rsidR="00541D2D" w:rsidRPr="008D4AB3" w:rsidRDefault="00597C67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3 557,9</w:t>
            </w:r>
          </w:p>
        </w:tc>
        <w:tc>
          <w:tcPr>
            <w:tcW w:w="1587" w:type="dxa"/>
            <w:vAlign w:val="center"/>
          </w:tcPr>
          <w:p w:rsidR="00541D2D" w:rsidRPr="008D4AB3" w:rsidRDefault="00597C67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3 496,6</w:t>
            </w:r>
          </w:p>
        </w:tc>
        <w:tc>
          <w:tcPr>
            <w:tcW w:w="1437" w:type="dxa"/>
            <w:vAlign w:val="center"/>
          </w:tcPr>
          <w:p w:rsidR="00541D2D" w:rsidRPr="008D4AB3" w:rsidRDefault="00597C67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3 044,8</w:t>
            </w:r>
          </w:p>
        </w:tc>
      </w:tr>
      <w:tr w:rsidR="00541D2D" w:rsidRPr="008D4AB3" w:rsidTr="008D4AB3">
        <w:trPr>
          <w:trHeight w:val="252"/>
        </w:trPr>
        <w:tc>
          <w:tcPr>
            <w:tcW w:w="4756" w:type="dxa"/>
          </w:tcPr>
          <w:p w:rsidR="00541D2D" w:rsidRPr="008D4AB3" w:rsidRDefault="00541D2D" w:rsidP="00EC539A">
            <w:pPr>
              <w:jc w:val="both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В том числе: на 1 проверку</w:t>
            </w:r>
          </w:p>
        </w:tc>
        <w:tc>
          <w:tcPr>
            <w:tcW w:w="1731" w:type="dxa"/>
            <w:vAlign w:val="center"/>
          </w:tcPr>
          <w:p w:rsidR="00541D2D" w:rsidRPr="008D4AB3" w:rsidRDefault="00597C67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38,26</w:t>
            </w:r>
          </w:p>
        </w:tc>
        <w:tc>
          <w:tcPr>
            <w:tcW w:w="1587" w:type="dxa"/>
            <w:vAlign w:val="center"/>
          </w:tcPr>
          <w:p w:rsidR="00541D2D" w:rsidRPr="008D4AB3" w:rsidRDefault="00597C67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39,29</w:t>
            </w:r>
          </w:p>
        </w:tc>
        <w:tc>
          <w:tcPr>
            <w:tcW w:w="1437" w:type="dxa"/>
            <w:vAlign w:val="center"/>
          </w:tcPr>
          <w:p w:rsidR="00541D2D" w:rsidRPr="008D4AB3" w:rsidRDefault="00597C67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32,05</w:t>
            </w:r>
          </w:p>
        </w:tc>
      </w:tr>
      <w:tr w:rsidR="00541D2D" w:rsidRPr="008D4AB3" w:rsidTr="008D4AB3">
        <w:trPr>
          <w:trHeight w:val="757"/>
        </w:trPr>
        <w:tc>
          <w:tcPr>
            <w:tcW w:w="4756" w:type="dxa"/>
          </w:tcPr>
          <w:p w:rsidR="00541D2D" w:rsidRPr="008D4AB3" w:rsidRDefault="00541D2D" w:rsidP="00EC539A">
            <w:pPr>
              <w:jc w:val="both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В том числе: нарушений по использованию бюджетных средств (бюджетное законодательство, недостачи, мат. ресурсы)</w:t>
            </w:r>
          </w:p>
        </w:tc>
        <w:tc>
          <w:tcPr>
            <w:tcW w:w="1731" w:type="dxa"/>
            <w:vAlign w:val="center"/>
          </w:tcPr>
          <w:p w:rsidR="00541D2D" w:rsidRPr="008D4AB3" w:rsidRDefault="008D4AB3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3 399,5</w:t>
            </w:r>
          </w:p>
        </w:tc>
        <w:tc>
          <w:tcPr>
            <w:tcW w:w="1587" w:type="dxa"/>
            <w:vAlign w:val="center"/>
          </w:tcPr>
          <w:p w:rsidR="00541D2D" w:rsidRPr="008D4AB3" w:rsidRDefault="008D4AB3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3 456,9</w:t>
            </w:r>
          </w:p>
        </w:tc>
        <w:tc>
          <w:tcPr>
            <w:tcW w:w="1437" w:type="dxa"/>
            <w:vAlign w:val="center"/>
          </w:tcPr>
          <w:p w:rsidR="00541D2D" w:rsidRPr="008D4AB3" w:rsidRDefault="008D4AB3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2 861,8</w:t>
            </w:r>
          </w:p>
        </w:tc>
      </w:tr>
      <w:tr w:rsidR="00541D2D" w:rsidRPr="008D4AB3" w:rsidTr="008D4AB3">
        <w:trPr>
          <w:trHeight w:val="757"/>
        </w:trPr>
        <w:tc>
          <w:tcPr>
            <w:tcW w:w="4756" w:type="dxa"/>
          </w:tcPr>
          <w:p w:rsidR="00541D2D" w:rsidRPr="008D4AB3" w:rsidRDefault="00541D2D" w:rsidP="00EC539A">
            <w:pPr>
              <w:jc w:val="both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Возмещено нарушений бюджетного законодательства, вреда, других нарушений и недостач материальных ценностей, тыс. рублей</w:t>
            </w:r>
          </w:p>
        </w:tc>
        <w:tc>
          <w:tcPr>
            <w:tcW w:w="1731" w:type="dxa"/>
            <w:vAlign w:val="center"/>
          </w:tcPr>
          <w:p w:rsidR="00541D2D" w:rsidRPr="008D4AB3" w:rsidRDefault="008D4AB3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2 635,1</w:t>
            </w:r>
          </w:p>
        </w:tc>
        <w:tc>
          <w:tcPr>
            <w:tcW w:w="1587" w:type="dxa"/>
            <w:vAlign w:val="center"/>
          </w:tcPr>
          <w:p w:rsidR="00541D2D" w:rsidRPr="008D4AB3" w:rsidRDefault="008D4AB3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3 441,8</w:t>
            </w:r>
          </w:p>
        </w:tc>
        <w:tc>
          <w:tcPr>
            <w:tcW w:w="1437" w:type="dxa"/>
            <w:vAlign w:val="center"/>
          </w:tcPr>
          <w:p w:rsidR="00541D2D" w:rsidRPr="008D4AB3" w:rsidRDefault="008D4AB3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4 206,4</w:t>
            </w:r>
          </w:p>
        </w:tc>
      </w:tr>
      <w:tr w:rsidR="00541D2D" w:rsidRPr="008D4AB3" w:rsidTr="008D4AB3">
        <w:trPr>
          <w:trHeight w:val="504"/>
        </w:trPr>
        <w:tc>
          <w:tcPr>
            <w:tcW w:w="4756" w:type="dxa"/>
          </w:tcPr>
          <w:p w:rsidR="00541D2D" w:rsidRPr="008D4AB3" w:rsidRDefault="00541D2D" w:rsidP="00EC539A">
            <w:pPr>
              <w:jc w:val="both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 xml:space="preserve">В том числе: нарушений бюджетного законодательства </w:t>
            </w:r>
          </w:p>
        </w:tc>
        <w:tc>
          <w:tcPr>
            <w:tcW w:w="1731" w:type="dxa"/>
            <w:vAlign w:val="center"/>
          </w:tcPr>
          <w:p w:rsidR="00541D2D" w:rsidRPr="008D4AB3" w:rsidRDefault="008D4AB3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2 296,3</w:t>
            </w:r>
          </w:p>
        </w:tc>
        <w:tc>
          <w:tcPr>
            <w:tcW w:w="1587" w:type="dxa"/>
            <w:vAlign w:val="center"/>
          </w:tcPr>
          <w:p w:rsidR="00541D2D" w:rsidRPr="008D4AB3" w:rsidRDefault="008D4AB3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3 416,0</w:t>
            </w:r>
          </w:p>
        </w:tc>
        <w:tc>
          <w:tcPr>
            <w:tcW w:w="1437" w:type="dxa"/>
            <w:vAlign w:val="center"/>
          </w:tcPr>
          <w:p w:rsidR="00541D2D" w:rsidRPr="008D4AB3" w:rsidRDefault="008D4AB3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4 069,3</w:t>
            </w:r>
          </w:p>
        </w:tc>
      </w:tr>
      <w:tr w:rsidR="00541D2D" w:rsidRPr="008D4AB3" w:rsidTr="008D4AB3">
        <w:trPr>
          <w:trHeight w:val="504"/>
        </w:trPr>
        <w:tc>
          <w:tcPr>
            <w:tcW w:w="4756" w:type="dxa"/>
          </w:tcPr>
          <w:p w:rsidR="00541D2D" w:rsidRPr="008D4AB3" w:rsidRDefault="00A518F9" w:rsidP="00EC539A">
            <w:pPr>
              <w:jc w:val="both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lastRenderedPageBreak/>
              <w:t xml:space="preserve">Взыскано административных штрафов, </w:t>
            </w:r>
            <w:proofErr w:type="spellStart"/>
            <w:r w:rsidRPr="008D4AB3">
              <w:rPr>
                <w:rFonts w:ascii="Times New Roman" w:hAnsi="Times New Roman" w:cs="Times New Roman"/>
              </w:rPr>
              <w:t>тыс.рублей</w:t>
            </w:r>
            <w:proofErr w:type="spellEnd"/>
          </w:p>
        </w:tc>
        <w:tc>
          <w:tcPr>
            <w:tcW w:w="1731" w:type="dxa"/>
            <w:vAlign w:val="center"/>
          </w:tcPr>
          <w:p w:rsidR="00541D2D" w:rsidRPr="008D4AB3" w:rsidRDefault="008D4AB3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  <w:vAlign w:val="center"/>
          </w:tcPr>
          <w:p w:rsidR="00541D2D" w:rsidRPr="008D4AB3" w:rsidRDefault="008D4AB3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121,2</w:t>
            </w:r>
          </w:p>
        </w:tc>
        <w:tc>
          <w:tcPr>
            <w:tcW w:w="1437" w:type="dxa"/>
            <w:vAlign w:val="center"/>
          </w:tcPr>
          <w:p w:rsidR="00541D2D" w:rsidRPr="008D4AB3" w:rsidRDefault="008D4AB3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96,9</w:t>
            </w:r>
          </w:p>
        </w:tc>
      </w:tr>
      <w:tr w:rsidR="00A518F9" w:rsidRPr="008D4AB3" w:rsidTr="008D4AB3">
        <w:trPr>
          <w:trHeight w:val="252"/>
        </w:trPr>
        <w:tc>
          <w:tcPr>
            <w:tcW w:w="4756" w:type="dxa"/>
          </w:tcPr>
          <w:p w:rsidR="00A518F9" w:rsidRPr="008D4AB3" w:rsidRDefault="00A518F9" w:rsidP="00EC539A">
            <w:pPr>
              <w:jc w:val="both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 xml:space="preserve">В том числе: с юридических лиц, тыс. рублей </w:t>
            </w:r>
          </w:p>
        </w:tc>
        <w:tc>
          <w:tcPr>
            <w:tcW w:w="1731" w:type="dxa"/>
            <w:vAlign w:val="center"/>
          </w:tcPr>
          <w:p w:rsidR="00A518F9" w:rsidRPr="008D4AB3" w:rsidRDefault="008D4AB3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137,8</w:t>
            </w:r>
          </w:p>
        </w:tc>
        <w:tc>
          <w:tcPr>
            <w:tcW w:w="1587" w:type="dxa"/>
            <w:vAlign w:val="center"/>
          </w:tcPr>
          <w:p w:rsidR="00A518F9" w:rsidRPr="008D4AB3" w:rsidRDefault="008D4AB3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437" w:type="dxa"/>
            <w:vAlign w:val="center"/>
          </w:tcPr>
          <w:p w:rsidR="00A518F9" w:rsidRPr="008D4AB3" w:rsidRDefault="008D4AB3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78,2</w:t>
            </w:r>
          </w:p>
        </w:tc>
      </w:tr>
      <w:tr w:rsidR="00A518F9" w:rsidRPr="008D4AB3" w:rsidTr="008D4AB3">
        <w:trPr>
          <w:trHeight w:val="252"/>
        </w:trPr>
        <w:tc>
          <w:tcPr>
            <w:tcW w:w="4756" w:type="dxa"/>
          </w:tcPr>
          <w:p w:rsidR="00A518F9" w:rsidRPr="008D4AB3" w:rsidRDefault="00A518F9" w:rsidP="00EC539A">
            <w:pPr>
              <w:jc w:val="both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 xml:space="preserve">С физических лиц, </w:t>
            </w:r>
            <w:proofErr w:type="spellStart"/>
            <w:r w:rsidRPr="008D4AB3">
              <w:rPr>
                <w:rFonts w:ascii="Times New Roman" w:hAnsi="Times New Roman" w:cs="Times New Roman"/>
              </w:rPr>
              <w:t>тыс.рублей</w:t>
            </w:r>
            <w:proofErr w:type="spellEnd"/>
          </w:p>
        </w:tc>
        <w:tc>
          <w:tcPr>
            <w:tcW w:w="1731" w:type="dxa"/>
            <w:vAlign w:val="center"/>
          </w:tcPr>
          <w:p w:rsidR="00A518F9" w:rsidRPr="008D4AB3" w:rsidRDefault="008D4AB3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587" w:type="dxa"/>
            <w:vAlign w:val="center"/>
          </w:tcPr>
          <w:p w:rsidR="00A518F9" w:rsidRPr="008D4AB3" w:rsidRDefault="008D4AB3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437" w:type="dxa"/>
            <w:vAlign w:val="center"/>
          </w:tcPr>
          <w:p w:rsidR="00A518F9" w:rsidRPr="008D4AB3" w:rsidRDefault="008D4AB3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18,7</w:t>
            </w:r>
          </w:p>
        </w:tc>
      </w:tr>
      <w:tr w:rsidR="00A518F9" w:rsidRPr="008D4AB3" w:rsidTr="008D4AB3">
        <w:trPr>
          <w:trHeight w:val="504"/>
        </w:trPr>
        <w:tc>
          <w:tcPr>
            <w:tcW w:w="4756" w:type="dxa"/>
          </w:tcPr>
          <w:p w:rsidR="00A518F9" w:rsidRPr="008D4AB3" w:rsidRDefault="00A518F9" w:rsidP="00EC539A">
            <w:pPr>
              <w:jc w:val="both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Число лиц, привлеченных к дисциплинарной и материальной ответственности, ед.</w:t>
            </w:r>
          </w:p>
        </w:tc>
        <w:tc>
          <w:tcPr>
            <w:tcW w:w="1731" w:type="dxa"/>
            <w:vAlign w:val="center"/>
          </w:tcPr>
          <w:p w:rsidR="00A518F9" w:rsidRPr="008D4AB3" w:rsidRDefault="008D4AB3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587" w:type="dxa"/>
            <w:vAlign w:val="center"/>
          </w:tcPr>
          <w:p w:rsidR="00A518F9" w:rsidRPr="008D4AB3" w:rsidRDefault="008D4AB3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37" w:type="dxa"/>
            <w:vAlign w:val="center"/>
          </w:tcPr>
          <w:p w:rsidR="00A518F9" w:rsidRPr="008D4AB3" w:rsidRDefault="008D4AB3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216</w:t>
            </w:r>
          </w:p>
        </w:tc>
      </w:tr>
      <w:tr w:rsidR="00A518F9" w:rsidRPr="008D4AB3" w:rsidTr="008D4AB3">
        <w:trPr>
          <w:trHeight w:val="1009"/>
        </w:trPr>
        <w:tc>
          <w:tcPr>
            <w:tcW w:w="4756" w:type="dxa"/>
          </w:tcPr>
          <w:p w:rsidR="00A518F9" w:rsidRPr="008D4AB3" w:rsidRDefault="00A518F9" w:rsidP="00EC539A">
            <w:pPr>
              <w:jc w:val="both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 xml:space="preserve">Предотвращение незаконное получение, использование не по целевому назначению или с нарушением законодательства бюджетных и иных государственных средств </w:t>
            </w:r>
          </w:p>
        </w:tc>
        <w:tc>
          <w:tcPr>
            <w:tcW w:w="1731" w:type="dxa"/>
            <w:vAlign w:val="center"/>
          </w:tcPr>
          <w:p w:rsidR="00A518F9" w:rsidRPr="008D4AB3" w:rsidRDefault="008D4AB3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498,2</w:t>
            </w:r>
          </w:p>
        </w:tc>
        <w:tc>
          <w:tcPr>
            <w:tcW w:w="1587" w:type="dxa"/>
            <w:vAlign w:val="center"/>
          </w:tcPr>
          <w:p w:rsidR="00A518F9" w:rsidRPr="008D4AB3" w:rsidRDefault="008D4AB3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298,9</w:t>
            </w:r>
          </w:p>
        </w:tc>
        <w:tc>
          <w:tcPr>
            <w:tcW w:w="1437" w:type="dxa"/>
            <w:vAlign w:val="center"/>
          </w:tcPr>
          <w:p w:rsidR="00A518F9" w:rsidRPr="008D4AB3" w:rsidRDefault="008D4AB3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910,6</w:t>
            </w:r>
          </w:p>
        </w:tc>
      </w:tr>
      <w:tr w:rsidR="00A518F9" w:rsidRPr="008D4AB3" w:rsidTr="008D4AB3">
        <w:trPr>
          <w:trHeight w:val="504"/>
        </w:trPr>
        <w:tc>
          <w:tcPr>
            <w:tcW w:w="4756" w:type="dxa"/>
          </w:tcPr>
          <w:p w:rsidR="00A518F9" w:rsidRPr="008D4AB3" w:rsidRDefault="00A518F9" w:rsidP="00EC539A">
            <w:pPr>
              <w:jc w:val="both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 xml:space="preserve">Дополнительно поступило платежей и других причитающихся бюджету сумм, </w:t>
            </w:r>
            <w:proofErr w:type="spellStart"/>
            <w:r w:rsidRPr="008D4AB3">
              <w:rPr>
                <w:rFonts w:ascii="Times New Roman" w:hAnsi="Times New Roman" w:cs="Times New Roman"/>
              </w:rPr>
              <w:t>тыс.рублей</w:t>
            </w:r>
            <w:proofErr w:type="spellEnd"/>
          </w:p>
        </w:tc>
        <w:tc>
          <w:tcPr>
            <w:tcW w:w="1731" w:type="dxa"/>
            <w:vAlign w:val="center"/>
          </w:tcPr>
          <w:p w:rsidR="00A518F9" w:rsidRPr="008D4AB3" w:rsidRDefault="008D4AB3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411,8</w:t>
            </w:r>
          </w:p>
        </w:tc>
        <w:tc>
          <w:tcPr>
            <w:tcW w:w="1587" w:type="dxa"/>
            <w:vAlign w:val="center"/>
          </w:tcPr>
          <w:p w:rsidR="00A518F9" w:rsidRPr="008D4AB3" w:rsidRDefault="008D4AB3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442,9</w:t>
            </w:r>
          </w:p>
        </w:tc>
        <w:tc>
          <w:tcPr>
            <w:tcW w:w="1437" w:type="dxa"/>
            <w:vAlign w:val="center"/>
          </w:tcPr>
          <w:p w:rsidR="00A518F9" w:rsidRPr="008D4AB3" w:rsidRDefault="008D4AB3" w:rsidP="00597C67">
            <w:pPr>
              <w:jc w:val="center"/>
              <w:rPr>
                <w:rFonts w:ascii="Times New Roman" w:hAnsi="Times New Roman" w:cs="Times New Roman"/>
              </w:rPr>
            </w:pPr>
            <w:r w:rsidRPr="008D4AB3">
              <w:rPr>
                <w:rFonts w:ascii="Times New Roman" w:hAnsi="Times New Roman" w:cs="Times New Roman"/>
              </w:rPr>
              <w:t>678,2</w:t>
            </w:r>
          </w:p>
        </w:tc>
      </w:tr>
    </w:tbl>
    <w:p w:rsidR="00D5230D" w:rsidRDefault="00D5230D" w:rsidP="008D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10A1" w:rsidRPr="00597C67" w:rsidRDefault="00BD10A1" w:rsidP="008D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Подробнее рассмотрим результаты проверок проводимых в 2021 году. В целях упорядочения планирования контрольной деятельности и повышения ее результативности в Главном управлении на постоянной основе принимаются меры по совершенствованию аналитической работы, обеспечению системного накопления информации о подконтрольных субъектах, расширению количества субъектов, оцениваемых по критериям оценки степени риска, и максимальному охвату </w:t>
      </w:r>
      <w:proofErr w:type="spellStart"/>
      <w:r w:rsidRPr="00597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высокорисковых</w:t>
      </w:r>
      <w:proofErr w:type="spellEnd"/>
      <w:r w:rsidRPr="00597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субъектов контрольными мероприятиями.</w:t>
      </w:r>
    </w:p>
    <w:p w:rsidR="00BD10A1" w:rsidRPr="00597C67" w:rsidRDefault="00BD10A1" w:rsidP="00BD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оценки степени риска субъектов при формировании предложений в сводный план проверок Главным управлением используются сведения (документы), содержащиеся в программном комплексе «АСГК комплекс задач ТК исполнения республиканского и местного бюджета», задаче «Исполнение республиканского и местного бюджета по расходам», а также информация, предоставленная в рамках взаимодействия с управлением государственного казначейства Главного управления.</w:t>
      </w:r>
    </w:p>
    <w:p w:rsidR="00BD10A1" w:rsidRPr="00597C67" w:rsidRDefault="00BD10A1" w:rsidP="00BD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Предложения в план выборочных проверок формировались Главным управлением исходя из необходимости охвата выборочными проверками различных отраслей экономической деятельности (в </w:t>
      </w:r>
      <w:proofErr w:type="spellStart"/>
      <w:r w:rsidRPr="00597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597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отраслей, по результатам проведенных проверок которых регулярно выявлялись значительные суммы нарушений бюджетного законодательства). Учитывались также темы и мероприятия, определенные Министерством финансов, для изучения в рамках контрольной деятельности в планах основных направлений работы Министерства финансов на очередной год, а также иные поручения и рекомендации Министерства финансов по проведению проверок.</w:t>
      </w:r>
    </w:p>
    <w:p w:rsidR="00BD10A1" w:rsidRPr="00597C67" w:rsidRDefault="00BD10A1" w:rsidP="00BD1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C67">
        <w:rPr>
          <w:rFonts w:ascii="Times New Roman" w:eastAsia="Calibri" w:hAnsi="Times New Roman" w:cs="Times New Roman"/>
          <w:sz w:val="24"/>
          <w:szCs w:val="24"/>
        </w:rPr>
        <w:t>Основаниями для выбора объектов являлись:</w:t>
      </w:r>
    </w:p>
    <w:p w:rsidR="00BD10A1" w:rsidRPr="00597C67" w:rsidRDefault="00BD10A1" w:rsidP="00BD1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C67">
        <w:rPr>
          <w:rFonts w:ascii="Times New Roman" w:eastAsia="Calibri" w:hAnsi="Times New Roman" w:cs="Times New Roman"/>
          <w:sz w:val="24"/>
          <w:szCs w:val="24"/>
        </w:rPr>
        <w:t>- план основных направлений ра</w:t>
      </w:r>
      <w:r w:rsidR="00F34844">
        <w:rPr>
          <w:rFonts w:ascii="Times New Roman" w:eastAsia="Calibri" w:hAnsi="Times New Roman" w:cs="Times New Roman"/>
          <w:sz w:val="24"/>
          <w:szCs w:val="24"/>
        </w:rPr>
        <w:t xml:space="preserve">боты Министерства финансов на </w:t>
      </w:r>
      <w:r w:rsidRPr="00597C67">
        <w:rPr>
          <w:rFonts w:ascii="Times New Roman" w:eastAsia="Calibri" w:hAnsi="Times New Roman" w:cs="Times New Roman"/>
          <w:sz w:val="24"/>
          <w:szCs w:val="24"/>
        </w:rPr>
        <w:t>2021 год;</w:t>
      </w:r>
    </w:p>
    <w:p w:rsidR="00BD10A1" w:rsidRPr="00597C67" w:rsidRDefault="00BD10A1" w:rsidP="00BD1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C67">
        <w:rPr>
          <w:rFonts w:ascii="Times New Roman" w:eastAsia="Calibri" w:hAnsi="Times New Roman" w:cs="Times New Roman"/>
          <w:sz w:val="24"/>
          <w:szCs w:val="24"/>
        </w:rPr>
        <w:t>- информация о нарушениях законодательства при расходовании средств бюджета и государственных внебюджетных фондов, получаемая в ходе осуществления мероприятий профилактического и предупредительного характера, в том числе посредством проведения мониторингов, от органов уголовного преследования, государственных органов и иных организаций;</w:t>
      </w:r>
    </w:p>
    <w:p w:rsidR="00BD10A1" w:rsidRPr="00597C67" w:rsidRDefault="00BD10A1" w:rsidP="00BD1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C67">
        <w:rPr>
          <w:rFonts w:ascii="Times New Roman" w:eastAsia="Calibri" w:hAnsi="Times New Roman" w:cs="Times New Roman"/>
          <w:sz w:val="24"/>
          <w:szCs w:val="24"/>
        </w:rPr>
        <w:t>- анализ пояснительных записок областей о выявленных нарушениях.</w:t>
      </w:r>
    </w:p>
    <w:p w:rsidR="00BD10A1" w:rsidRPr="00597C67" w:rsidRDefault="00BD10A1" w:rsidP="00BD1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C67">
        <w:rPr>
          <w:rFonts w:ascii="Times New Roman" w:eastAsia="Calibri" w:hAnsi="Times New Roman" w:cs="Times New Roman"/>
          <w:sz w:val="24"/>
          <w:szCs w:val="24"/>
        </w:rPr>
        <w:t xml:space="preserve">В сводный план выборочных проверок на 2 полугодие 2021 года отобрано 22 субъекта хозяйствования, в том числе из таких сфер деятельности как социальная защита (6 субъектов), здравоохранение (5 </w:t>
      </w:r>
      <w:r w:rsidR="00454266" w:rsidRPr="00597C67">
        <w:rPr>
          <w:rFonts w:ascii="Times New Roman" w:eastAsia="Calibri" w:hAnsi="Times New Roman" w:cs="Times New Roman"/>
          <w:sz w:val="24"/>
          <w:szCs w:val="24"/>
        </w:rPr>
        <w:t>субъектов</w:t>
      </w:r>
      <w:r w:rsidRPr="00597C67">
        <w:rPr>
          <w:rFonts w:ascii="Times New Roman" w:eastAsia="Calibri" w:hAnsi="Times New Roman" w:cs="Times New Roman"/>
          <w:sz w:val="24"/>
          <w:szCs w:val="24"/>
        </w:rPr>
        <w:t>), жилищно-коммунально</w:t>
      </w:r>
      <w:r w:rsidR="00454266" w:rsidRPr="00597C67">
        <w:rPr>
          <w:rFonts w:ascii="Times New Roman" w:eastAsia="Calibri" w:hAnsi="Times New Roman" w:cs="Times New Roman"/>
          <w:sz w:val="24"/>
          <w:szCs w:val="24"/>
        </w:rPr>
        <w:t>е хозяйство (2 субъекта</w:t>
      </w:r>
      <w:r w:rsidRPr="00597C67">
        <w:rPr>
          <w:rFonts w:ascii="Times New Roman" w:eastAsia="Calibri" w:hAnsi="Times New Roman" w:cs="Times New Roman"/>
          <w:sz w:val="24"/>
          <w:szCs w:val="24"/>
        </w:rPr>
        <w:t>), сельское хозяйство (2 субъекта</w:t>
      </w:r>
      <w:r w:rsidR="00454266" w:rsidRPr="00597C67">
        <w:rPr>
          <w:rFonts w:ascii="Times New Roman" w:eastAsia="Calibri" w:hAnsi="Times New Roman" w:cs="Times New Roman"/>
          <w:sz w:val="24"/>
          <w:szCs w:val="24"/>
        </w:rPr>
        <w:t>), спорт (2 субъекта</w:t>
      </w:r>
      <w:r w:rsidRPr="00597C6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454266" w:rsidRPr="00597C67">
        <w:rPr>
          <w:rFonts w:ascii="Times New Roman" w:eastAsia="Calibri" w:hAnsi="Times New Roman" w:cs="Times New Roman"/>
          <w:sz w:val="24"/>
          <w:szCs w:val="24"/>
        </w:rPr>
        <w:t>прочие (2 субъекта</w:t>
      </w:r>
      <w:r w:rsidRPr="00597C67">
        <w:rPr>
          <w:rFonts w:ascii="Times New Roman" w:eastAsia="Calibri" w:hAnsi="Times New Roman" w:cs="Times New Roman"/>
          <w:sz w:val="24"/>
          <w:szCs w:val="24"/>
        </w:rPr>
        <w:t>), строительство</w:t>
      </w:r>
      <w:r w:rsidR="00454266" w:rsidRPr="00597C67">
        <w:rPr>
          <w:rFonts w:ascii="Times New Roman" w:eastAsia="Calibri" w:hAnsi="Times New Roman" w:cs="Times New Roman"/>
          <w:sz w:val="24"/>
          <w:szCs w:val="24"/>
        </w:rPr>
        <w:t xml:space="preserve"> (1 субъект</w:t>
      </w:r>
      <w:r w:rsidRPr="00597C67">
        <w:rPr>
          <w:rFonts w:ascii="Times New Roman" w:eastAsia="Calibri" w:hAnsi="Times New Roman" w:cs="Times New Roman"/>
          <w:sz w:val="24"/>
          <w:szCs w:val="24"/>
        </w:rPr>
        <w:t>), культура (1 субъект), образование (1 субъект).</w:t>
      </w:r>
    </w:p>
    <w:p w:rsidR="00BD10A1" w:rsidRPr="00597C67" w:rsidRDefault="00BD10A1" w:rsidP="00BD10A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Проведенными за 2021 год проверками в 95 организациях выявлены нарушения </w:t>
      </w:r>
      <w:r w:rsidRPr="00597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общую сумму 3 025 455,07 рублей, в </w:t>
      </w:r>
      <w:proofErr w:type="spellStart"/>
      <w:r w:rsidRPr="00597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597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</w:t>
      </w:r>
    </w:p>
    <w:p w:rsidR="00BD10A1" w:rsidRPr="00597C67" w:rsidRDefault="00BD10A1" w:rsidP="00BD10A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бюджетного законодательства в сумме </w:t>
      </w:r>
      <w:r w:rsidRPr="00597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2 842 460,9 рублей (94 %) в 88 </w:t>
      </w:r>
      <w:r w:rsidRPr="00597C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организациях</w:t>
      </w:r>
      <w:r w:rsidRPr="00597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97C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них незаконное получение средств из бюджета – 2 013 124,5 рублей (59 организаций); нецелевое использование средств бюджета – 1 070,26 (1 организация), использование средств бюджета с нарушением бюджетного законодательства – 828 266,14</w:t>
      </w:r>
      <w:r w:rsidRPr="00597C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597C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рублей </w:t>
      </w:r>
      <w:r w:rsidRPr="00597C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(72 организации); </w:t>
      </w:r>
    </w:p>
    <w:p w:rsidR="00BD10A1" w:rsidRPr="00597C67" w:rsidRDefault="00BD10A1" w:rsidP="00BD10A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7C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другие нарушения выявлены в 24 организациях на сумму 182 994,17</w:t>
      </w:r>
      <w:r w:rsidRPr="00597C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597C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рублей (6 %).</w:t>
      </w:r>
    </w:p>
    <w:p w:rsidR="00BD10A1" w:rsidRPr="00597C67" w:rsidRDefault="00BD10A1" w:rsidP="00BD10A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C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Кроме этого, установлено</w:t>
      </w:r>
      <w:r w:rsidRPr="00597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нарушений при использовании материальных ресурсов, приобретенных за счет бюджетных средств, на сумму 18 331,99 рублей в 13 организациях.</w:t>
      </w:r>
    </w:p>
    <w:p w:rsidR="00BD10A1" w:rsidRPr="00597C67" w:rsidRDefault="00BD10A1" w:rsidP="00BD1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7C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Недостача бюджетных средств и </w:t>
      </w:r>
      <w:r w:rsidRPr="00597C67">
        <w:rPr>
          <w:rFonts w:ascii="Times New Roman" w:eastAsia="Calibri" w:hAnsi="Times New Roman" w:cs="Times New Roman"/>
          <w:bCs/>
          <w:sz w:val="24"/>
          <w:szCs w:val="24"/>
        </w:rPr>
        <w:t>материальных ценностей выявлена у 17 субъектов хозяйствования на общую сумму 968,04 рублей.</w:t>
      </w:r>
    </w:p>
    <w:p w:rsidR="00BD10A1" w:rsidRPr="00597C67" w:rsidRDefault="00BD10A1" w:rsidP="00BD1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97C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8 организациях выявлено неэффективное использование бюджетных средств на общую сумму 23 599,73 рублей.</w:t>
      </w:r>
    </w:p>
    <w:p w:rsidR="00BD10A1" w:rsidRPr="00597C67" w:rsidRDefault="00BD10A1" w:rsidP="00BD1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97C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Проведенными в ходе проверок инвентаризациями выявлены излишки денежных средств и материальных ценностей на сумму 7 451,34</w:t>
      </w:r>
      <w:r w:rsidRPr="00597C6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 </w:t>
      </w:r>
      <w:r w:rsidRPr="00597C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рублей в 31 организации.</w:t>
      </w:r>
    </w:p>
    <w:p w:rsidR="00BD10A1" w:rsidRPr="00597C67" w:rsidRDefault="00BD10A1" w:rsidP="00BD1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7C67">
        <w:rPr>
          <w:rFonts w:ascii="Times New Roman" w:eastAsia="Calibri" w:hAnsi="Times New Roman" w:cs="Times New Roman"/>
          <w:sz w:val="24"/>
          <w:szCs w:val="24"/>
        </w:rPr>
        <w:t xml:space="preserve">Среди нарушений бюджетного законодательства наибольший удельный вес занимают нарушения, допущенные в оплате труда, – </w:t>
      </w:r>
      <w:r w:rsidRPr="00597C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46,5 %, </w:t>
      </w:r>
      <w:r w:rsidRPr="00597C67">
        <w:rPr>
          <w:rFonts w:ascii="Times New Roman" w:eastAsia="Calibri" w:hAnsi="Times New Roman" w:cs="Times New Roman"/>
          <w:sz w:val="24"/>
          <w:szCs w:val="24"/>
        </w:rPr>
        <w:t>нарушения при восстановлении расходов бюджета за счет средств от приносящей доходы деятельности</w:t>
      </w:r>
      <w:r w:rsidR="00B66486" w:rsidRPr="00597C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597C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26,4 %, при </w:t>
      </w:r>
      <w:r w:rsidRPr="00597C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строительстве и ремон</w:t>
      </w:r>
      <w:r w:rsidR="00B66486" w:rsidRPr="00597C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тных работах – </w:t>
      </w:r>
      <w:r w:rsidRPr="00597C67">
        <w:rPr>
          <w:rFonts w:ascii="Times New Roman" w:eastAsia="Calibri" w:hAnsi="Times New Roman" w:cs="Times New Roman"/>
          <w:color w:val="000000"/>
          <w:sz w:val="24"/>
          <w:szCs w:val="24"/>
        </w:rPr>
        <w:t>21,9 %, нарушения при использовании внебюджетных средств от приносящей доходы деятел</w:t>
      </w:r>
      <w:r w:rsidR="00B66486" w:rsidRPr="00597C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ьности – </w:t>
      </w:r>
      <w:r w:rsidRPr="00597C67">
        <w:rPr>
          <w:rFonts w:ascii="Times New Roman" w:eastAsia="Calibri" w:hAnsi="Times New Roman" w:cs="Times New Roman"/>
          <w:color w:val="000000"/>
          <w:sz w:val="24"/>
          <w:szCs w:val="24"/>
        </w:rPr>
        <w:t>3 </w:t>
      </w:r>
      <w:r w:rsidR="00B66486" w:rsidRPr="00597C67">
        <w:rPr>
          <w:rFonts w:ascii="Times New Roman" w:eastAsia="Calibri" w:hAnsi="Times New Roman" w:cs="Times New Roman"/>
          <w:color w:val="000000"/>
          <w:sz w:val="24"/>
          <w:szCs w:val="24"/>
        </w:rPr>
        <w:t>%</w:t>
      </w:r>
      <w:r w:rsidRPr="00597C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оплате коммунальных и </w:t>
      </w:r>
      <w:r w:rsidR="00B66486" w:rsidRPr="00597C67">
        <w:rPr>
          <w:rFonts w:ascii="Times New Roman" w:eastAsia="Calibri" w:hAnsi="Times New Roman" w:cs="Times New Roman"/>
          <w:color w:val="000000"/>
          <w:sz w:val="24"/>
          <w:szCs w:val="24"/>
        </w:rPr>
        <w:t>других услуг – 0,9 %, субсидии – 0,9 %</w:t>
      </w:r>
      <w:r w:rsidRPr="00597C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D10A1" w:rsidRPr="00597C67" w:rsidRDefault="00BD10A1" w:rsidP="00BD1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7C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результатам проверок </w:t>
      </w:r>
      <w:r w:rsidRPr="00597C67">
        <w:rPr>
          <w:rFonts w:ascii="Times New Roman" w:eastAsia="Calibri" w:hAnsi="Times New Roman" w:cs="Times New Roman"/>
          <w:sz w:val="24"/>
          <w:szCs w:val="24"/>
        </w:rPr>
        <w:t xml:space="preserve">предотвращено незаконное получение, использование не по целевому назначению или с нарушением бюджетного законодательства бюджетных и иных государственных средств на сумму 910 302,13 рублей, </w:t>
      </w:r>
      <w:r w:rsidRPr="00597C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дополнительно поступило платежей и других причитающихся бюджету сумм в размере 244 697,78 рублей. </w:t>
      </w:r>
    </w:p>
    <w:p w:rsidR="00BD10A1" w:rsidRPr="00597C67" w:rsidRDefault="00BD10A1" w:rsidP="00BD1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C67">
        <w:rPr>
          <w:rFonts w:ascii="Times New Roman" w:eastAsia="Calibri" w:hAnsi="Times New Roman" w:cs="Times New Roman"/>
          <w:sz w:val="24"/>
          <w:szCs w:val="24"/>
        </w:rPr>
        <w:t xml:space="preserve">Выборочными проверками, проведенными в 54 организациях и учреждениях, установлено нарушений в 52 организациях и учреждениях в общей сумме </w:t>
      </w:r>
      <w:r w:rsidRPr="00597C67">
        <w:rPr>
          <w:rFonts w:ascii="Times New Roman" w:eastAsia="Calibri" w:hAnsi="Times New Roman" w:cs="Times New Roman"/>
          <w:bCs/>
          <w:sz w:val="24"/>
          <w:szCs w:val="24"/>
        </w:rPr>
        <w:t>1 399 652,69 рублей</w:t>
      </w:r>
      <w:r w:rsidR="00454266" w:rsidRPr="00597C6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D10A1" w:rsidRPr="00597C67" w:rsidRDefault="00BD10A1" w:rsidP="00BD1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C67">
        <w:rPr>
          <w:rFonts w:ascii="Times New Roman" w:eastAsia="Calibri" w:hAnsi="Times New Roman" w:cs="Times New Roman"/>
          <w:sz w:val="24"/>
          <w:szCs w:val="24"/>
        </w:rPr>
        <w:t xml:space="preserve">Принятыми мерами по реализации всех проверок, проведенных в 2021 году, в </w:t>
      </w:r>
      <w:r w:rsidR="00454266" w:rsidRPr="00597C67">
        <w:rPr>
          <w:rFonts w:ascii="Times New Roman" w:eastAsia="Calibri" w:hAnsi="Times New Roman" w:cs="Times New Roman"/>
          <w:sz w:val="24"/>
          <w:szCs w:val="24"/>
        </w:rPr>
        <w:t xml:space="preserve">бюджет возмещено </w:t>
      </w:r>
      <w:r w:rsidRPr="00597C67">
        <w:rPr>
          <w:rFonts w:ascii="Times New Roman" w:eastAsia="Calibri" w:hAnsi="Times New Roman" w:cs="Times New Roman"/>
          <w:sz w:val="24"/>
          <w:szCs w:val="24"/>
        </w:rPr>
        <w:t xml:space="preserve">74,9 % от подлежащих восстановлению в бюджет. В возмещение других нарушений </w:t>
      </w:r>
      <w:r w:rsidR="00454266" w:rsidRPr="00597C67">
        <w:rPr>
          <w:rFonts w:ascii="Times New Roman" w:eastAsia="Calibri" w:hAnsi="Times New Roman" w:cs="Times New Roman"/>
          <w:sz w:val="24"/>
          <w:szCs w:val="24"/>
        </w:rPr>
        <w:t xml:space="preserve">поступило </w:t>
      </w:r>
      <w:r w:rsidRPr="00597C67">
        <w:rPr>
          <w:rFonts w:ascii="Times New Roman" w:eastAsia="Calibri" w:hAnsi="Times New Roman" w:cs="Times New Roman"/>
          <w:sz w:val="24"/>
          <w:szCs w:val="24"/>
        </w:rPr>
        <w:t>92,3 %.</w:t>
      </w:r>
    </w:p>
    <w:p w:rsidR="00BD10A1" w:rsidRPr="00597C67" w:rsidRDefault="00BD10A1" w:rsidP="00BD1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C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Главным управлением </w:t>
      </w:r>
      <w:r w:rsidRPr="00597C67">
        <w:rPr>
          <w:rFonts w:ascii="Times New Roman" w:eastAsia="Calibri" w:hAnsi="Times New Roman" w:cs="Times New Roman"/>
          <w:sz w:val="24"/>
          <w:szCs w:val="24"/>
        </w:rPr>
        <w:t>продолжается работа по принятию всех исчерпывающих мер по взысканию бюджетных средств, а также прочих сумм нарушений.</w:t>
      </w:r>
    </w:p>
    <w:p w:rsidR="00B66486" w:rsidRPr="00597C67" w:rsidRDefault="00BD10A1" w:rsidP="00BD1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C67">
        <w:rPr>
          <w:rFonts w:ascii="Times New Roman" w:eastAsia="Calibri" w:hAnsi="Times New Roman" w:cs="Times New Roman"/>
          <w:sz w:val="24"/>
          <w:szCs w:val="24"/>
        </w:rPr>
        <w:t xml:space="preserve">В отчетном периоде к административной ответственности </w:t>
      </w:r>
      <w:r w:rsidR="00B66486" w:rsidRPr="00597C67">
        <w:rPr>
          <w:rFonts w:ascii="Times New Roman" w:eastAsia="Calibri" w:hAnsi="Times New Roman" w:cs="Times New Roman"/>
          <w:sz w:val="24"/>
          <w:szCs w:val="24"/>
        </w:rPr>
        <w:t xml:space="preserve">в виде штрафов </w:t>
      </w:r>
      <w:r w:rsidRPr="00597C67">
        <w:rPr>
          <w:rFonts w:ascii="Times New Roman" w:eastAsia="Calibri" w:hAnsi="Times New Roman" w:cs="Times New Roman"/>
          <w:sz w:val="24"/>
          <w:szCs w:val="24"/>
        </w:rPr>
        <w:t xml:space="preserve">привлечено 20 юридических лиц, 52 физических </w:t>
      </w:r>
      <w:r w:rsidR="00B66486" w:rsidRPr="00597C67">
        <w:rPr>
          <w:rFonts w:ascii="Times New Roman" w:eastAsia="Calibri" w:hAnsi="Times New Roman" w:cs="Times New Roman"/>
          <w:sz w:val="24"/>
          <w:szCs w:val="24"/>
        </w:rPr>
        <w:t xml:space="preserve">лица, а также </w:t>
      </w:r>
      <w:r w:rsidRPr="00597C67">
        <w:rPr>
          <w:rFonts w:ascii="Times New Roman" w:eastAsia="Calibri" w:hAnsi="Times New Roman" w:cs="Times New Roman"/>
          <w:sz w:val="24"/>
          <w:szCs w:val="24"/>
        </w:rPr>
        <w:t xml:space="preserve">2 физических лица в виде предупреждений. Взыскано административных штрафов с 20 юридических лиц на сумму 29 907,28 рублей, с 45 физических лиц на общую сумму 5 394,0 рублей. </w:t>
      </w:r>
    </w:p>
    <w:p w:rsidR="00BD10A1" w:rsidRPr="00597C67" w:rsidRDefault="00BD10A1" w:rsidP="00BD1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C67">
        <w:rPr>
          <w:rFonts w:ascii="Times New Roman" w:eastAsia="Calibri" w:hAnsi="Times New Roman" w:cs="Times New Roman"/>
          <w:sz w:val="24"/>
          <w:szCs w:val="24"/>
        </w:rPr>
        <w:t>Привлечено к дисциплинарной и материальной ответственности 179 должностных лиц, по материалам 2020 года – 37 должностных лиц.</w:t>
      </w:r>
    </w:p>
    <w:p w:rsidR="00BD10A1" w:rsidRPr="00597C67" w:rsidRDefault="00BD10A1" w:rsidP="00BD1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7C67">
        <w:rPr>
          <w:rFonts w:ascii="Times New Roman" w:eastAsia="Calibri" w:hAnsi="Times New Roman" w:cs="Times New Roman"/>
          <w:sz w:val="24"/>
          <w:szCs w:val="24"/>
        </w:rPr>
        <w:t xml:space="preserve">Основными причинами, по которым субъектами допускаются нарушения, является недостаточное знание нормативных документов, </w:t>
      </w:r>
      <w:r w:rsidRPr="00597C67">
        <w:rPr>
          <w:rFonts w:ascii="Times New Roman" w:eastAsia="Calibri" w:hAnsi="Times New Roman" w:cs="Times New Roman"/>
          <w:color w:val="000000"/>
          <w:sz w:val="24"/>
          <w:szCs w:val="24"/>
        </w:rPr>
        <w:t>а также невыполнение в должной мере должностными лицами возложенных на них обязанностей по</w:t>
      </w:r>
      <w:r w:rsidRPr="00597C67">
        <w:rPr>
          <w:rFonts w:ascii="Times New Roman" w:eastAsia="Calibri" w:hAnsi="Times New Roman" w:cs="Times New Roman"/>
          <w:bCs/>
          <w:sz w:val="24"/>
          <w:szCs w:val="24"/>
        </w:rPr>
        <w:t xml:space="preserve"> контролю за использованием бюджетных средств.</w:t>
      </w:r>
    </w:p>
    <w:p w:rsidR="00BD10A1" w:rsidRPr="00597C67" w:rsidRDefault="00BD10A1" w:rsidP="00BD1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C67">
        <w:rPr>
          <w:rFonts w:ascii="Times New Roman" w:eastAsia="Calibri" w:hAnsi="Times New Roman" w:cs="Times New Roman"/>
          <w:bCs/>
          <w:sz w:val="24"/>
          <w:szCs w:val="24"/>
        </w:rPr>
        <w:t xml:space="preserve">Анализ выявленных в 2021 году нарушений (как в первом, так и во втором полугодиях) свидетельствует о системном характере нарушений, связанных с планированием, а также использованием бюджетных и внебюджетных средств, направляемых на уплату </w:t>
      </w:r>
      <w:r w:rsidRPr="00597C67">
        <w:rPr>
          <w:rFonts w:ascii="Times New Roman" w:eastAsia="Calibri" w:hAnsi="Times New Roman" w:cs="Times New Roman"/>
          <w:sz w:val="24"/>
          <w:szCs w:val="24"/>
        </w:rPr>
        <w:t xml:space="preserve">взносов в </w:t>
      </w:r>
      <w:r w:rsidRPr="00597C67">
        <w:rPr>
          <w:rFonts w:ascii="Times New Roman" w:eastAsia="Calibri" w:hAnsi="Times New Roman" w:cs="Times New Roman"/>
          <w:bCs/>
          <w:sz w:val="24"/>
          <w:szCs w:val="24"/>
        </w:rPr>
        <w:t xml:space="preserve">бюджет государственного внебюджетного фонда социальной защиты населения Республики Беларусь и </w:t>
      </w:r>
      <w:r w:rsidRPr="00597C67">
        <w:rPr>
          <w:rFonts w:ascii="Times New Roman" w:eastAsia="Calibri" w:hAnsi="Times New Roman" w:cs="Times New Roman"/>
          <w:sz w:val="24"/>
          <w:szCs w:val="24"/>
        </w:rPr>
        <w:t>страховых взносов по обязательному страхованию в представительство «</w:t>
      </w:r>
      <w:proofErr w:type="spellStart"/>
      <w:r w:rsidRPr="00597C67">
        <w:rPr>
          <w:rFonts w:ascii="Times New Roman" w:eastAsia="Calibri" w:hAnsi="Times New Roman" w:cs="Times New Roman"/>
          <w:sz w:val="24"/>
          <w:szCs w:val="24"/>
        </w:rPr>
        <w:t>Белгосстрах</w:t>
      </w:r>
      <w:proofErr w:type="spellEnd"/>
      <w:r w:rsidRPr="00597C6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D10A1" w:rsidRPr="00597C67" w:rsidRDefault="00BD10A1" w:rsidP="00BD1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C67">
        <w:rPr>
          <w:rFonts w:ascii="Times New Roman" w:eastAsia="Calibri" w:hAnsi="Times New Roman" w:cs="Times New Roman"/>
          <w:sz w:val="24"/>
          <w:szCs w:val="24"/>
        </w:rPr>
        <w:t>Нарушение выразилось в излишнем планировании, а также использовании бюджетными организациями Витебской области бюджетных и внебюджетных средств, предусмотренных на уплату взносов по государственному социальному страхованию, допущенное по двум причинам:</w:t>
      </w:r>
    </w:p>
    <w:p w:rsidR="00BD10A1" w:rsidRPr="00597C67" w:rsidRDefault="00BD10A1" w:rsidP="00BD1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C67">
        <w:rPr>
          <w:rFonts w:ascii="Times New Roman" w:eastAsia="Calibri" w:hAnsi="Times New Roman" w:cs="Times New Roman"/>
          <w:sz w:val="24"/>
          <w:szCs w:val="24"/>
        </w:rPr>
        <w:t xml:space="preserve">- завышения размеров взносов по государственному социальному страхованию по сравнению с установленными Законом Республики Беларусь от 29.02.1996 № 138-XIII «Об обязательных страховых взносах в бюджет государственного внебюджетного фонда социальной защиты населения Республики Беларусь» и Положением о страховой </w:t>
      </w:r>
      <w:r w:rsidRPr="00597C67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 в Республике Беларусь, утвержденным Указом Президента Республики Беларусь 25.08.2006 № 530 «О страховой деятельности);</w:t>
      </w:r>
    </w:p>
    <w:p w:rsidR="00BD10A1" w:rsidRPr="00597C67" w:rsidRDefault="00B66486" w:rsidP="00BD1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C6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D10A1" w:rsidRPr="00597C67">
        <w:rPr>
          <w:rFonts w:ascii="Times New Roman" w:eastAsia="Calibri" w:hAnsi="Times New Roman" w:cs="Times New Roman"/>
          <w:sz w:val="24"/>
          <w:szCs w:val="24"/>
        </w:rPr>
        <w:t>необоснованного начислении данных взносов на материальную помощь, оказываемую работникам в соответствии с законодательными актами (п. 4 Указа Президента Республики Беларусь от 18.01.2019 № 27 «Об оплате труда ра</w:t>
      </w:r>
      <w:r w:rsidR="00F34844">
        <w:rPr>
          <w:rFonts w:ascii="Times New Roman" w:eastAsia="Calibri" w:hAnsi="Times New Roman" w:cs="Times New Roman"/>
          <w:sz w:val="24"/>
          <w:szCs w:val="24"/>
        </w:rPr>
        <w:t>ботников бюджетных организаций»</w:t>
      </w:r>
      <w:r w:rsidR="00BD10A1" w:rsidRPr="00597C67">
        <w:rPr>
          <w:rFonts w:ascii="Times New Roman" w:eastAsia="Calibri" w:hAnsi="Times New Roman" w:cs="Times New Roman"/>
          <w:sz w:val="24"/>
          <w:szCs w:val="24"/>
        </w:rPr>
        <w:t>) в связи с несоблюдением п. 7 Перечня выплат, на которые не начисляются взносы по государственному социальному страхованию, в том числе по профессиональному пенсионному страхованию,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</w:t>
      </w:r>
      <w:proofErr w:type="spellStart"/>
      <w:r w:rsidR="00BD10A1" w:rsidRPr="00597C67">
        <w:rPr>
          <w:rFonts w:ascii="Times New Roman" w:eastAsia="Calibri" w:hAnsi="Times New Roman" w:cs="Times New Roman"/>
          <w:sz w:val="24"/>
          <w:szCs w:val="24"/>
        </w:rPr>
        <w:t>Белгосстрах</w:t>
      </w:r>
      <w:proofErr w:type="spellEnd"/>
      <w:r w:rsidR="00BD10A1" w:rsidRPr="00597C67">
        <w:rPr>
          <w:rFonts w:ascii="Times New Roman" w:eastAsia="Calibri" w:hAnsi="Times New Roman" w:cs="Times New Roman"/>
          <w:sz w:val="24"/>
          <w:szCs w:val="24"/>
        </w:rPr>
        <w:t xml:space="preserve">», утвержденного постановлением Совета Министров Республики Беларусь </w:t>
      </w:r>
      <w:r w:rsidR="00F34844">
        <w:rPr>
          <w:rFonts w:ascii="Times New Roman" w:eastAsia="Calibri" w:hAnsi="Times New Roman" w:cs="Times New Roman"/>
          <w:sz w:val="24"/>
          <w:szCs w:val="24"/>
        </w:rPr>
        <w:t>25.01.1999 № 115</w:t>
      </w:r>
      <w:r w:rsidR="00BD10A1" w:rsidRPr="00597C67">
        <w:rPr>
          <w:rFonts w:ascii="Times New Roman" w:eastAsia="Calibri" w:hAnsi="Times New Roman" w:cs="Times New Roman"/>
          <w:sz w:val="24"/>
          <w:szCs w:val="24"/>
        </w:rPr>
        <w:t xml:space="preserve">, с учетом письма фонда социальной защиты населения Министерства труда и социальной защиты Республики Беларусь от 16.12.2020 № 328-10Р/11. </w:t>
      </w:r>
    </w:p>
    <w:p w:rsidR="00BD10A1" w:rsidRPr="00597C67" w:rsidRDefault="00BD10A1" w:rsidP="00B66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C67">
        <w:rPr>
          <w:rFonts w:ascii="Times New Roman" w:eastAsia="Calibri" w:hAnsi="Times New Roman" w:cs="Times New Roman"/>
          <w:sz w:val="24"/>
          <w:szCs w:val="24"/>
        </w:rPr>
        <w:t>Всего за 2021 год по двум вышеуказанным причинам установлено нарушений бюджетного законодательства (ст. 136, ст. 138, ст. 79 Бюджетн</w:t>
      </w:r>
      <w:r w:rsidR="00637F6E">
        <w:rPr>
          <w:rFonts w:ascii="Times New Roman" w:eastAsia="Calibri" w:hAnsi="Times New Roman" w:cs="Times New Roman"/>
          <w:sz w:val="24"/>
          <w:szCs w:val="24"/>
        </w:rPr>
        <w:t>ого кодекса Республики Беларусь</w:t>
      </w:r>
      <w:r w:rsidRPr="00597C67">
        <w:rPr>
          <w:rFonts w:ascii="Times New Roman" w:eastAsia="Calibri" w:hAnsi="Times New Roman" w:cs="Times New Roman"/>
          <w:sz w:val="24"/>
          <w:szCs w:val="24"/>
        </w:rPr>
        <w:t xml:space="preserve"> в 34 организациях на общую сумму 709 564,72</w:t>
      </w:r>
      <w:r w:rsidR="00454266" w:rsidRPr="00597C67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454266" w:rsidRPr="00597C67" w:rsidRDefault="00454266" w:rsidP="00B66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67">
        <w:rPr>
          <w:rFonts w:ascii="Times New Roman" w:eastAsia="Calibri" w:hAnsi="Times New Roman" w:cs="Times New Roman"/>
          <w:sz w:val="24"/>
          <w:szCs w:val="24"/>
        </w:rPr>
        <w:t xml:space="preserve">Исходя из проведенного анализа, можно сделать следующий вывод: </w:t>
      </w:r>
      <w:r w:rsidR="007C0269" w:rsidRPr="00597C67">
        <w:rPr>
          <w:rFonts w:ascii="Times New Roman" w:eastAsia="Calibri" w:hAnsi="Times New Roman" w:cs="Times New Roman"/>
          <w:sz w:val="24"/>
          <w:szCs w:val="24"/>
        </w:rPr>
        <w:t>эффективность последующего контроля заключается в обеспечении объективной оценки деятельности организаций, а также отличается углубленным и комплексным изучением всех сторон деятельности объекта проверки и позволяет выявлять недостатки предварительного и текущего контроля.</w:t>
      </w:r>
    </w:p>
    <w:p w:rsidR="00454266" w:rsidRDefault="00454266" w:rsidP="00B66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AB7C9D" w:rsidRDefault="00AB7C9D" w:rsidP="00AB7C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30"/>
        </w:rPr>
      </w:pPr>
      <w:r>
        <w:rPr>
          <w:rFonts w:ascii="Times New Roman" w:eastAsia="Calibri" w:hAnsi="Times New Roman" w:cs="Times New Roman"/>
          <w:i/>
          <w:sz w:val="24"/>
          <w:szCs w:val="30"/>
        </w:rPr>
        <w:t>Список цитированных источников</w:t>
      </w:r>
    </w:p>
    <w:p w:rsidR="00AB7C9D" w:rsidRDefault="00AB7C9D" w:rsidP="00AB7C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30"/>
        </w:rPr>
      </w:pPr>
    </w:p>
    <w:p w:rsidR="00AB7C9D" w:rsidRDefault="00AB7C9D" w:rsidP="00550054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AB7C9D">
        <w:rPr>
          <w:rFonts w:ascii="Times New Roman" w:eastAsia="Calibri" w:hAnsi="Times New Roman" w:cs="Times New Roman"/>
          <w:sz w:val="24"/>
          <w:szCs w:val="30"/>
        </w:rPr>
        <w:t xml:space="preserve">Контрольно-ревизионная деятельность </w:t>
      </w:r>
      <w:r>
        <w:rPr>
          <w:rFonts w:ascii="Times New Roman" w:eastAsia="Calibri" w:hAnsi="Times New Roman" w:cs="Times New Roman"/>
          <w:sz w:val="24"/>
          <w:szCs w:val="30"/>
        </w:rPr>
        <w:t xml:space="preserve">[Электронный ресурс]. </w:t>
      </w:r>
      <w:r w:rsidRPr="00AB7C9D">
        <w:rPr>
          <w:rFonts w:ascii="Times New Roman" w:eastAsia="Calibri" w:hAnsi="Times New Roman" w:cs="Times New Roman"/>
          <w:sz w:val="24"/>
          <w:szCs w:val="30"/>
        </w:rPr>
        <w:t xml:space="preserve">– Режим доступа: </w:t>
      </w:r>
      <w:r w:rsidR="00550054" w:rsidRPr="00550054">
        <w:rPr>
          <w:rFonts w:ascii="Times New Roman" w:eastAsia="Calibri" w:hAnsi="Times New Roman" w:cs="Times New Roman"/>
          <w:sz w:val="24"/>
          <w:szCs w:val="30"/>
        </w:rPr>
        <w:t>https://minfin.gov.by/ru/auditing_activities/</w:t>
      </w:r>
      <w:r>
        <w:rPr>
          <w:rFonts w:ascii="Times New Roman" w:eastAsia="Calibri" w:hAnsi="Times New Roman" w:cs="Times New Roman"/>
          <w:sz w:val="24"/>
          <w:szCs w:val="30"/>
        </w:rPr>
        <w:t>– Дата доступа: 20.12</w:t>
      </w:r>
      <w:r w:rsidRPr="00AB7C9D">
        <w:rPr>
          <w:rFonts w:ascii="Times New Roman" w:eastAsia="Calibri" w:hAnsi="Times New Roman" w:cs="Times New Roman"/>
          <w:sz w:val="24"/>
          <w:szCs w:val="30"/>
        </w:rPr>
        <w:t>.2022.</w:t>
      </w:r>
    </w:p>
    <w:p w:rsidR="00550054" w:rsidRDefault="00AB7C9D" w:rsidP="00550054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550054">
        <w:rPr>
          <w:rFonts w:ascii="Times New Roman" w:eastAsia="Calibri" w:hAnsi="Times New Roman" w:cs="Times New Roman"/>
          <w:sz w:val="24"/>
          <w:szCs w:val="30"/>
        </w:rPr>
        <w:t>Об оплате труда работников бюджетных организаций [Электронный ресурс]: указ Президента Республики Беларусь от 18 янв. 2019 г. № 27 // Национальный правовой Интернет-портал Республики Беларусь. – Режим доступа:</w:t>
      </w:r>
      <w:r w:rsidR="00550054" w:rsidRPr="00550054">
        <w:rPr>
          <w:rFonts w:ascii="Times New Roman" w:eastAsia="Calibri" w:hAnsi="Times New Roman" w:cs="Times New Roman"/>
          <w:sz w:val="24"/>
          <w:szCs w:val="30"/>
        </w:rPr>
        <w:t xml:space="preserve"> </w:t>
      </w:r>
      <w:r w:rsidRPr="00550054">
        <w:rPr>
          <w:rFonts w:ascii="Times New Roman" w:eastAsia="Calibri" w:hAnsi="Times New Roman" w:cs="Times New Roman"/>
          <w:sz w:val="24"/>
          <w:szCs w:val="30"/>
        </w:rPr>
        <w:t>https://pravo.by/document</w:t>
      </w:r>
      <w:r w:rsidR="00550054">
        <w:rPr>
          <w:rFonts w:ascii="Times New Roman" w:eastAsia="Calibri" w:hAnsi="Times New Roman" w:cs="Times New Roman"/>
          <w:sz w:val="24"/>
          <w:szCs w:val="30"/>
        </w:rPr>
        <w:t xml:space="preserve"> – Дата доступа: 20.12</w:t>
      </w:r>
      <w:r w:rsidR="00550054" w:rsidRPr="00AB7C9D">
        <w:rPr>
          <w:rFonts w:ascii="Times New Roman" w:eastAsia="Calibri" w:hAnsi="Times New Roman" w:cs="Times New Roman"/>
          <w:sz w:val="24"/>
          <w:szCs w:val="30"/>
        </w:rPr>
        <w:t>.2022.</w:t>
      </w:r>
    </w:p>
    <w:p w:rsidR="00AB7C9D" w:rsidRPr="00550054" w:rsidRDefault="00550054" w:rsidP="00550054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597C67">
        <w:rPr>
          <w:rFonts w:ascii="Times New Roman" w:eastAsia="Calibri" w:hAnsi="Times New Roman" w:cs="Times New Roman"/>
          <w:sz w:val="24"/>
          <w:szCs w:val="24"/>
        </w:rPr>
        <w:t>Об обязательных страховых взносах в бюджет государственного внебюджетного фонда социальной защиты населения Республики Беларусь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0054">
        <w:rPr>
          <w:rFonts w:ascii="Times New Roman" w:eastAsia="Calibri" w:hAnsi="Times New Roman" w:cs="Times New Roman"/>
          <w:sz w:val="24"/>
          <w:szCs w:val="30"/>
        </w:rPr>
        <w:t xml:space="preserve">[Электронный ресурс]: </w:t>
      </w:r>
      <w:r>
        <w:rPr>
          <w:rFonts w:ascii="Times New Roman" w:eastAsia="Calibri" w:hAnsi="Times New Roman" w:cs="Times New Roman"/>
          <w:sz w:val="24"/>
          <w:szCs w:val="30"/>
        </w:rPr>
        <w:t xml:space="preserve">Закон </w:t>
      </w:r>
      <w:r w:rsidRPr="00550054">
        <w:rPr>
          <w:rFonts w:ascii="Times New Roman" w:eastAsia="Calibri" w:hAnsi="Times New Roman" w:cs="Times New Roman"/>
          <w:sz w:val="24"/>
          <w:szCs w:val="30"/>
        </w:rPr>
        <w:t xml:space="preserve">Республики Беларусь от </w:t>
      </w:r>
      <w:r>
        <w:rPr>
          <w:rFonts w:ascii="Times New Roman" w:eastAsia="Calibri" w:hAnsi="Times New Roman" w:cs="Times New Roman"/>
          <w:sz w:val="24"/>
          <w:szCs w:val="30"/>
        </w:rPr>
        <w:t>29 фев</w:t>
      </w:r>
      <w:r w:rsidRPr="00550054">
        <w:rPr>
          <w:rFonts w:ascii="Times New Roman" w:eastAsia="Calibri" w:hAnsi="Times New Roman" w:cs="Times New Roman"/>
          <w:sz w:val="24"/>
          <w:szCs w:val="30"/>
        </w:rPr>
        <w:t>.</w:t>
      </w:r>
      <w:r>
        <w:rPr>
          <w:rFonts w:ascii="Times New Roman" w:eastAsia="Calibri" w:hAnsi="Times New Roman" w:cs="Times New Roman"/>
          <w:sz w:val="24"/>
          <w:szCs w:val="30"/>
        </w:rPr>
        <w:t xml:space="preserve"> 1996 г. № </w:t>
      </w:r>
      <w:r w:rsidRPr="00597C67">
        <w:rPr>
          <w:rFonts w:ascii="Times New Roman" w:eastAsia="Calibri" w:hAnsi="Times New Roman" w:cs="Times New Roman"/>
          <w:sz w:val="24"/>
          <w:szCs w:val="24"/>
        </w:rPr>
        <w:t>138-XIII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0054">
        <w:rPr>
          <w:rFonts w:ascii="Times New Roman" w:eastAsia="Calibri" w:hAnsi="Times New Roman" w:cs="Times New Roman"/>
          <w:sz w:val="24"/>
          <w:szCs w:val="30"/>
        </w:rPr>
        <w:t>//</w:t>
      </w:r>
      <w:r>
        <w:rPr>
          <w:rFonts w:ascii="Times New Roman" w:eastAsia="Calibri" w:hAnsi="Times New Roman" w:cs="Times New Roman"/>
          <w:sz w:val="24"/>
          <w:szCs w:val="30"/>
        </w:rPr>
        <w:t xml:space="preserve"> Министерство сельского хозяйства и продовольствия Республики Беларусь</w:t>
      </w:r>
      <w:r w:rsidRPr="00550054">
        <w:rPr>
          <w:rFonts w:ascii="Times New Roman" w:eastAsia="Calibri" w:hAnsi="Times New Roman" w:cs="Times New Roman"/>
          <w:sz w:val="24"/>
          <w:szCs w:val="30"/>
        </w:rPr>
        <w:t xml:space="preserve"> – Режим доступа: https://mshp.gov.by/documents/ </w:t>
      </w:r>
      <w:r>
        <w:rPr>
          <w:rFonts w:ascii="Times New Roman" w:eastAsia="Calibri" w:hAnsi="Times New Roman" w:cs="Times New Roman"/>
          <w:sz w:val="24"/>
          <w:szCs w:val="30"/>
        </w:rPr>
        <w:t>– Дата доступа: 21.12</w:t>
      </w:r>
      <w:r w:rsidRPr="00AB7C9D">
        <w:rPr>
          <w:rFonts w:ascii="Times New Roman" w:eastAsia="Calibri" w:hAnsi="Times New Roman" w:cs="Times New Roman"/>
          <w:sz w:val="24"/>
          <w:szCs w:val="30"/>
        </w:rPr>
        <w:t>.2022.</w:t>
      </w:r>
    </w:p>
    <w:p w:rsidR="00454266" w:rsidRDefault="00454266" w:rsidP="00BD10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4266" w:rsidRPr="00454266" w:rsidRDefault="00454266" w:rsidP="00454266">
      <w:pPr>
        <w:rPr>
          <w:rFonts w:ascii="Times New Roman" w:hAnsi="Times New Roman" w:cs="Times New Roman"/>
          <w:sz w:val="28"/>
        </w:rPr>
      </w:pPr>
    </w:p>
    <w:p w:rsidR="00454266" w:rsidRPr="00454266" w:rsidRDefault="00454266" w:rsidP="00454266">
      <w:pPr>
        <w:rPr>
          <w:rFonts w:ascii="Times New Roman" w:hAnsi="Times New Roman" w:cs="Times New Roman"/>
          <w:sz w:val="28"/>
        </w:rPr>
      </w:pPr>
    </w:p>
    <w:p w:rsidR="00454266" w:rsidRPr="00454266" w:rsidRDefault="00454266" w:rsidP="00454266">
      <w:pPr>
        <w:rPr>
          <w:rFonts w:ascii="Times New Roman" w:hAnsi="Times New Roman" w:cs="Times New Roman"/>
          <w:sz w:val="28"/>
        </w:rPr>
      </w:pPr>
    </w:p>
    <w:p w:rsidR="00A518F9" w:rsidRPr="00454266" w:rsidRDefault="00A518F9" w:rsidP="00550054">
      <w:pPr>
        <w:rPr>
          <w:rFonts w:ascii="Times New Roman" w:hAnsi="Times New Roman" w:cs="Times New Roman"/>
          <w:sz w:val="28"/>
        </w:rPr>
      </w:pPr>
    </w:p>
    <w:sectPr w:rsidR="00A518F9" w:rsidRPr="004542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2B2" w:rsidRDefault="004672B2" w:rsidP="00637F6E">
      <w:pPr>
        <w:spacing w:after="0" w:line="240" w:lineRule="auto"/>
      </w:pPr>
      <w:r>
        <w:separator/>
      </w:r>
    </w:p>
  </w:endnote>
  <w:endnote w:type="continuationSeparator" w:id="0">
    <w:p w:rsidR="004672B2" w:rsidRDefault="004672B2" w:rsidP="0063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558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37F6E" w:rsidRPr="00637F6E" w:rsidRDefault="00637F6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637F6E">
          <w:rPr>
            <w:rFonts w:ascii="Times New Roman" w:hAnsi="Times New Roman" w:cs="Times New Roman"/>
            <w:sz w:val="24"/>
          </w:rPr>
          <w:fldChar w:fldCharType="begin"/>
        </w:r>
        <w:r w:rsidRPr="00637F6E">
          <w:rPr>
            <w:rFonts w:ascii="Times New Roman" w:hAnsi="Times New Roman" w:cs="Times New Roman"/>
            <w:sz w:val="24"/>
          </w:rPr>
          <w:instrText>PAGE   \* MERGEFORMAT</w:instrText>
        </w:r>
        <w:r w:rsidRPr="00637F6E">
          <w:rPr>
            <w:rFonts w:ascii="Times New Roman" w:hAnsi="Times New Roman" w:cs="Times New Roman"/>
            <w:sz w:val="24"/>
          </w:rPr>
          <w:fldChar w:fldCharType="separate"/>
        </w:r>
        <w:r w:rsidR="00215EFB">
          <w:rPr>
            <w:rFonts w:ascii="Times New Roman" w:hAnsi="Times New Roman" w:cs="Times New Roman"/>
            <w:noProof/>
            <w:sz w:val="24"/>
          </w:rPr>
          <w:t>3</w:t>
        </w:r>
        <w:r w:rsidRPr="00637F6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37F6E" w:rsidRDefault="00637F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2B2" w:rsidRDefault="004672B2" w:rsidP="00637F6E">
      <w:pPr>
        <w:spacing w:after="0" w:line="240" w:lineRule="auto"/>
      </w:pPr>
      <w:r>
        <w:separator/>
      </w:r>
    </w:p>
  </w:footnote>
  <w:footnote w:type="continuationSeparator" w:id="0">
    <w:p w:rsidR="004672B2" w:rsidRDefault="004672B2" w:rsidP="00637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14747"/>
    <w:multiLevelType w:val="hybridMultilevel"/>
    <w:tmpl w:val="7258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221D3"/>
    <w:multiLevelType w:val="hybridMultilevel"/>
    <w:tmpl w:val="23666076"/>
    <w:lvl w:ilvl="0" w:tplc="C6369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4D508A"/>
    <w:multiLevelType w:val="hybridMultilevel"/>
    <w:tmpl w:val="1C68439A"/>
    <w:lvl w:ilvl="0" w:tplc="AD52D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D5"/>
    <w:rsid w:val="000E2D8A"/>
    <w:rsid w:val="00215EFB"/>
    <w:rsid w:val="00275852"/>
    <w:rsid w:val="003115E0"/>
    <w:rsid w:val="00423C13"/>
    <w:rsid w:val="00442CAD"/>
    <w:rsid w:val="00454266"/>
    <w:rsid w:val="004601D5"/>
    <w:rsid w:val="004672B2"/>
    <w:rsid w:val="005170B9"/>
    <w:rsid w:val="00541D2D"/>
    <w:rsid w:val="00550054"/>
    <w:rsid w:val="00597C67"/>
    <w:rsid w:val="00637F6E"/>
    <w:rsid w:val="00766576"/>
    <w:rsid w:val="007B2C6C"/>
    <w:rsid w:val="007C0269"/>
    <w:rsid w:val="008D4AB3"/>
    <w:rsid w:val="00A518F9"/>
    <w:rsid w:val="00AB7C9D"/>
    <w:rsid w:val="00B31024"/>
    <w:rsid w:val="00B66486"/>
    <w:rsid w:val="00BD10A1"/>
    <w:rsid w:val="00C50C26"/>
    <w:rsid w:val="00D102E6"/>
    <w:rsid w:val="00D5230D"/>
    <w:rsid w:val="00DF1487"/>
    <w:rsid w:val="00EC539A"/>
    <w:rsid w:val="00EE0C97"/>
    <w:rsid w:val="00F3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89A1C-ADB8-4E35-97EA-9679E383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F6E"/>
  </w:style>
  <w:style w:type="paragraph" w:styleId="a6">
    <w:name w:val="footer"/>
    <w:basedOn w:val="a"/>
    <w:link w:val="a7"/>
    <w:uiPriority w:val="99"/>
    <w:unhideWhenUsed/>
    <w:rsid w:val="00637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F6E"/>
  </w:style>
  <w:style w:type="paragraph" w:styleId="a8">
    <w:name w:val="List Paragraph"/>
    <w:basedOn w:val="a"/>
    <w:uiPriority w:val="34"/>
    <w:qFormat/>
    <w:rsid w:val="00AB7C9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50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2022-12-06T14:11:00Z</dcterms:created>
  <dcterms:modified xsi:type="dcterms:W3CDTF">2022-12-30T15:03:00Z</dcterms:modified>
</cp:coreProperties>
</file>