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FF6B7" w14:textId="77777777" w:rsidR="00D42C6C" w:rsidRDefault="00BB198E" w:rsidP="00BB19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color="46271D"/>
        </w:rPr>
      </w:pPr>
      <w:bookmarkStart w:id="0" w:name="_Toc105800926"/>
      <w:r w:rsidRPr="00BB198E">
        <w:rPr>
          <w:rFonts w:ascii="Times New Roman" w:eastAsia="Calibri" w:hAnsi="Times New Roman" w:cs="Times New Roman"/>
          <w:b/>
          <w:sz w:val="28"/>
          <w:szCs w:val="28"/>
          <w:u w:color="46271D"/>
        </w:rPr>
        <w:t>Проблемные вопросы предоставления услуг участникам внешнеэкономической деятельности</w:t>
      </w:r>
    </w:p>
    <w:p w14:paraId="4F789628" w14:textId="77777777" w:rsidR="00BB198E" w:rsidRPr="00D42C6C" w:rsidRDefault="00BB198E" w:rsidP="00E60961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</w:p>
    <w:p w14:paraId="602567E7" w14:textId="77777777" w:rsidR="00D42C6C" w:rsidRPr="00BB198E" w:rsidRDefault="00D42C6C" w:rsidP="00D4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Отпущенников А.А., магистрант ГКОУ ВО «Российская таможенная академия» 140015, Московская область, г. Люберцы, Комсомольский проспект, д. 4, 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lexa</w:t>
      </w:r>
      <w:proofErr w:type="spellEnd"/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proofErr w:type="spellStart"/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lex</w:t>
      </w:r>
      <w:proofErr w:type="spellEnd"/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14:paraId="0365A2B1" w14:textId="77777777" w:rsidR="00B74F95" w:rsidRDefault="00B74F95" w:rsidP="00D4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60FEDED" w14:textId="4AC50535" w:rsidR="00D42C6C" w:rsidRPr="00BB198E" w:rsidRDefault="00821392" w:rsidP="00D42C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61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Макрусев В.В., профессор кафедры, д</w:t>
      </w:r>
      <w:proofErr w:type="gramStart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proofErr w:type="gramEnd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</w:t>
      </w:r>
      <w:proofErr w:type="spellEnd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</w:t>
      </w:r>
      <w:proofErr w:type="spellStart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мат.наук</w:t>
      </w:r>
      <w:proofErr w:type="spellEnd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профессор ГКОУ ВО «Российская таможенная академия» 140015, Московская область, г. Люберцы, Комсомольский проспект, д. 4, 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makrusev</w:t>
      </w:r>
      <w:proofErr w:type="spellEnd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@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spellStart"/>
      <w:r w:rsidR="00D42C6C" w:rsidRPr="00BB198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</w:t>
      </w:r>
      <w:proofErr w:type="spellEnd"/>
    </w:p>
    <w:p w14:paraId="7C274AE0" w14:textId="77777777" w:rsidR="00D42C6C" w:rsidRPr="005B67A8" w:rsidRDefault="00D42C6C" w:rsidP="00D42C6C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shd w:val="clear" w:color="auto" w:fill="FFFFFF"/>
          <w:lang w:eastAsia="ru-RU"/>
        </w:rPr>
      </w:pPr>
    </w:p>
    <w:p w14:paraId="0A7072E8" w14:textId="77777777" w:rsidR="00D42C6C" w:rsidRPr="00E60961" w:rsidRDefault="00D42C6C" w:rsidP="00D42C6C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</w:pPr>
      <w:r w:rsidRPr="00E60961"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eastAsia="ru-RU"/>
        </w:rPr>
        <w:t>Аннотация:</w:t>
      </w:r>
      <w:r w:rsidRPr="00E60961"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  <w:t xml:space="preserve"> статья посвящена </w:t>
      </w:r>
      <w:r w:rsidR="003E720C" w:rsidRPr="00E60961"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  <w:t>проблемным вопросам предоставления услуг участникам внешнеэкономической деятельности, приведена основная статистика за 2021 и 2020 годы.</w:t>
      </w:r>
    </w:p>
    <w:p w14:paraId="16F4E7C1" w14:textId="77777777" w:rsidR="00D42C6C" w:rsidRPr="00E60961" w:rsidRDefault="00D42C6C" w:rsidP="00D42C6C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</w:pPr>
    </w:p>
    <w:p w14:paraId="4C6B96CD" w14:textId="77777777" w:rsidR="00D42C6C" w:rsidRPr="00E60961" w:rsidRDefault="00D42C6C" w:rsidP="00D42C6C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</w:pPr>
      <w:r w:rsidRPr="00E60961"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eastAsia="ru-RU"/>
        </w:rPr>
        <w:t>Ключевые слова:</w:t>
      </w:r>
      <w:r w:rsidRPr="00E60961"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="003E720C" w:rsidRPr="00E60961"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  <w:t>подкарантийная</w:t>
      </w:r>
      <w:proofErr w:type="spellEnd"/>
      <w:r w:rsidR="003E720C" w:rsidRPr="00E60961">
        <w:rPr>
          <w:rFonts w:ascii="Times New Roman" w:eastAsia="Times New Roman" w:hAnsi="Times New Roman" w:cs="Arial"/>
          <w:i/>
          <w:sz w:val="28"/>
          <w:szCs w:val="20"/>
          <w:shd w:val="clear" w:color="auto" w:fill="FFFFFF"/>
          <w:lang w:eastAsia="ru-RU"/>
        </w:rPr>
        <w:t xml:space="preserve"> продукция, статистика, таможенные операции,  проведения таможенного контроля товаров.</w:t>
      </w:r>
    </w:p>
    <w:p w14:paraId="56851F72" w14:textId="77777777" w:rsidR="00D42C6C" w:rsidRPr="00E60961" w:rsidRDefault="00D42C6C" w:rsidP="00D42C6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eastAsia="ru-RU"/>
        </w:rPr>
      </w:pPr>
    </w:p>
    <w:p w14:paraId="4C14449C" w14:textId="77777777" w:rsidR="00D42C6C" w:rsidRPr="00432FAC" w:rsidRDefault="00E60961" w:rsidP="00E60961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0"/>
          <w:shd w:val="clear" w:color="auto" w:fill="FFFFFF"/>
          <w:lang w:val="en-US" w:eastAsia="ru-RU"/>
        </w:rPr>
      </w:pPr>
      <w:r w:rsidRPr="00E60961">
        <w:rPr>
          <w:rFonts w:ascii="Times New Roman" w:eastAsia="Times New Roman" w:hAnsi="Times New Roman" w:cs="Arial"/>
          <w:b/>
          <w:sz w:val="28"/>
          <w:szCs w:val="20"/>
          <w:shd w:val="clear" w:color="auto" w:fill="FFFFFF"/>
          <w:lang w:val="en-US" w:eastAsia="ru-RU"/>
        </w:rPr>
        <w:t>Problematic issues of providing services to participants of foreign economic activity</w:t>
      </w:r>
    </w:p>
    <w:p w14:paraId="4098F99A" w14:textId="77777777" w:rsidR="00E60961" w:rsidRPr="00432FAC" w:rsidRDefault="00E60961" w:rsidP="00E60961">
      <w:pPr>
        <w:spacing w:after="0" w:line="360" w:lineRule="auto"/>
        <w:ind w:firstLine="709"/>
        <w:jc w:val="center"/>
        <w:rPr>
          <w:rFonts w:ascii="Times New Roman" w:eastAsia="Times New Roman" w:hAnsi="Times New Roman" w:cs="Arial"/>
          <w:color w:val="FF0000"/>
          <w:sz w:val="28"/>
          <w:szCs w:val="20"/>
          <w:shd w:val="clear" w:color="auto" w:fill="FFFFFF"/>
          <w:lang w:val="en-US" w:eastAsia="ru-RU"/>
        </w:rPr>
      </w:pPr>
    </w:p>
    <w:p w14:paraId="47AC561F" w14:textId="3BDE92CD" w:rsidR="00D42C6C" w:rsidRPr="0075617A" w:rsidRDefault="00D42C6C" w:rsidP="00D42C6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</w:pP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Otpuschennikov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A.A., Master's student of the State Educational Institution of the Russian Customs Academy, 4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Komsomolsky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Prospekt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Lyubertsy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Moscow region, 140015, E-mail: </w:t>
      </w:r>
      <w:hyperlink r:id="rId8" w:history="1">
        <w:r w:rsidR="0075617A" w:rsidRPr="0075617A">
          <w:rPr>
            <w:rStyle w:val="a9"/>
            <w:rFonts w:ascii="Times New Roman" w:eastAsia="Times New Roman" w:hAnsi="Times New Roman" w:cs="Arial"/>
            <w:color w:val="auto"/>
            <w:sz w:val="28"/>
            <w:szCs w:val="20"/>
            <w:u w:val="none"/>
            <w:shd w:val="clear" w:color="auto" w:fill="FFFFFF"/>
            <w:lang w:val="en-US" w:eastAsia="ru-RU"/>
          </w:rPr>
          <w:t>lexa00lex@mail.ru</w:t>
        </w:r>
      </w:hyperlink>
    </w:p>
    <w:p w14:paraId="5EC32C97" w14:textId="77777777" w:rsidR="0075617A" w:rsidRPr="0075617A" w:rsidRDefault="0075617A" w:rsidP="00D42C6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</w:pPr>
    </w:p>
    <w:p w14:paraId="35979A2B" w14:textId="1773D969" w:rsidR="00D42C6C" w:rsidRPr="0075617A" w:rsidRDefault="0075617A" w:rsidP="0075617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</w:pPr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Scientific supervisor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Makrusev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V.V., Professor of the Department, Doctor of Physical and Mathematical Sciences, Professor of the GKOU HE «Russian Customs Academy» 140015, Moscow region,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Lyubertsy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Komsomolsky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proofErr w:type="spellStart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Prospekt</w:t>
      </w:r>
      <w:proofErr w:type="spellEnd"/>
      <w:r w:rsidRPr="0075617A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4, E-mail: </w:t>
      </w:r>
      <w:hyperlink r:id="rId9" w:history="1">
        <w:r w:rsidRPr="0075617A">
          <w:rPr>
            <w:rStyle w:val="a9"/>
            <w:rFonts w:ascii="Times New Roman" w:eastAsia="Times New Roman" w:hAnsi="Times New Roman" w:cs="Arial"/>
            <w:color w:val="auto"/>
            <w:sz w:val="28"/>
            <w:szCs w:val="20"/>
            <w:u w:val="none"/>
            <w:shd w:val="clear" w:color="auto" w:fill="FFFFFF"/>
            <w:lang w:val="en-US" w:eastAsia="ru-RU"/>
          </w:rPr>
          <w:t>makrusev@mail.ru</w:t>
        </w:r>
      </w:hyperlink>
    </w:p>
    <w:p w14:paraId="64B2939E" w14:textId="77777777" w:rsidR="0075617A" w:rsidRPr="0075617A" w:rsidRDefault="0075617A" w:rsidP="00D42C6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</w:pPr>
    </w:p>
    <w:bookmarkEnd w:id="0"/>
    <w:p w14:paraId="14023F43" w14:textId="77777777" w:rsidR="00E60961" w:rsidRPr="00E60961" w:rsidRDefault="00E60961" w:rsidP="00E60961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val="en-US" w:eastAsia="ru-RU"/>
        </w:rPr>
      </w:pPr>
      <w:r w:rsidRPr="00E60961"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val="en-US" w:eastAsia="ru-RU"/>
        </w:rPr>
        <w:t xml:space="preserve">Annotation: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the article is devoted to problematic issues of providing services to participants of foreign economic </w:t>
      </w:r>
      <w:proofErr w:type="gramStart"/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activity,</w:t>
      </w:r>
      <w:proofErr w:type="gramEnd"/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the main statistics for 2021 and 2020 are given.</w:t>
      </w:r>
    </w:p>
    <w:p w14:paraId="3541A670" w14:textId="77777777" w:rsidR="00E60961" w:rsidRPr="00432FAC" w:rsidRDefault="00E60961" w:rsidP="00E60961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val="en-US" w:eastAsia="ru-RU"/>
        </w:rPr>
      </w:pPr>
      <w:r w:rsidRPr="00E60961"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val="en-US" w:eastAsia="ru-RU"/>
        </w:rPr>
        <w:t>Keywords</w:t>
      </w:r>
      <w:r w:rsidRPr="00432FAC">
        <w:rPr>
          <w:rFonts w:ascii="Times New Roman" w:eastAsia="Times New Roman" w:hAnsi="Times New Roman" w:cs="Arial"/>
          <w:b/>
          <w:i/>
          <w:sz w:val="28"/>
          <w:szCs w:val="20"/>
          <w:shd w:val="clear" w:color="auto" w:fill="FFFFFF"/>
          <w:lang w:val="en-US" w:eastAsia="ru-RU"/>
        </w:rPr>
        <w:t xml:space="preserve">: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quarantined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products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statistics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customs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operations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,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customs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control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of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 xml:space="preserve"> </w:t>
      </w:r>
      <w:r w:rsidRPr="00E60961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goods</w:t>
      </w:r>
      <w:r w:rsidRPr="00432FAC">
        <w:rPr>
          <w:rFonts w:ascii="Times New Roman" w:eastAsia="Times New Roman" w:hAnsi="Times New Roman" w:cs="Arial"/>
          <w:sz w:val="28"/>
          <w:szCs w:val="20"/>
          <w:shd w:val="clear" w:color="auto" w:fill="FFFFFF"/>
          <w:lang w:val="en-US" w:eastAsia="ru-RU"/>
        </w:rPr>
        <w:t>.</w:t>
      </w:r>
    </w:p>
    <w:p w14:paraId="329AD9E6" w14:textId="53DF2704" w:rsidR="00E60961" w:rsidRPr="00432FAC" w:rsidRDefault="00E60961" w:rsidP="00E60961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i/>
          <w:color w:val="FF0000"/>
          <w:sz w:val="28"/>
          <w:szCs w:val="20"/>
          <w:shd w:val="clear" w:color="auto" w:fill="FFFFFF"/>
          <w:lang w:val="en-US" w:eastAsia="ru-RU"/>
        </w:rPr>
      </w:pPr>
    </w:p>
    <w:p w14:paraId="6D2C777B" w14:textId="07BCD068" w:rsidR="00821392" w:rsidRDefault="00821392" w:rsidP="00821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</w:t>
      </w:r>
      <w:proofErr w:type="spellEnd"/>
      <w:r w:rsidR="00534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клиентоцентричное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администрирование, </w:t>
      </w:r>
      <w:proofErr w:type="spellStart"/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интеллектуализация технологической платформы таможенного контроля и управления – ключевые идеи развития </w:t>
      </w:r>
      <w:r w:rsidRPr="007F3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таможенной службы России на ближайшее десятилетие, реализуемые на практике в рамках Стратегии развития таможенной </w:t>
      </w:r>
      <w:r w:rsidRPr="00EA3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до 2030 года</w:t>
      </w:r>
      <w:r w:rsidR="00D0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FEF" w:rsidRPr="00D05FEF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F02E9A" w:rsidRPr="00F02E9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615BD" w14:textId="62591080" w:rsidR="00821392" w:rsidRDefault="00821392" w:rsidP="00821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и эффективная реализация таких идей во многом зависит от понимания исходной позиции – существующего положения </w:t>
      </w:r>
      <w:r w:rsidRPr="008213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услуг участникам внешнеэкономической деятельности</w:t>
      </w:r>
      <w:r w:rsidR="00F02E9A" w:rsidRPr="00F0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9A" w:rsidRPr="00D05FE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02E9A" w:rsidRPr="00F02E9A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24A29" w14:textId="45B181A3" w:rsidR="00821392" w:rsidRPr="00821392" w:rsidRDefault="00821392" w:rsidP="008213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позволяет зафиксировать количествен</w:t>
      </w:r>
      <w:r w:rsidR="005344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параметры существующих п</w:t>
      </w:r>
      <w:r w:rsidRPr="00821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роблемных вопросов в реализации концепции сервисно</w:t>
      </w:r>
      <w:r w:rsidR="005344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администрировани</w:t>
      </w:r>
      <w:r w:rsidR="005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42C6C">
        <w:rPr>
          <w:rFonts w:ascii="Times New Roman" w:eastAsia="Calibri" w:hAnsi="Times New Roman" w:cs="Times New Roman"/>
          <w:sz w:val="28"/>
          <w:szCs w:val="28"/>
        </w:rPr>
        <w:t>овершени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таможенных операций и проведения таможенного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с товарами</w:t>
      </w:r>
      <w:r w:rsidRPr="00D42C6C">
        <w:rPr>
          <w:rFonts w:ascii="Times New Roman" w:eastAsia="Calibri" w:hAnsi="Times New Roman" w:cs="Times New Roman"/>
          <w:sz w:val="28"/>
          <w:szCs w:val="28"/>
        </w:rPr>
        <w:t>, подлежащи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обязательному подтверждению соответствия</w:t>
      </w:r>
      <w:r w:rsidRPr="0082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623C5" w14:textId="4DB3DB8D" w:rsidR="00D42C6C" w:rsidRPr="00D42C6C" w:rsidRDefault="00D42C6C" w:rsidP="00E609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Самая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большая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с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подкарантинной</w:t>
      </w:r>
      <w:proofErr w:type="spellEnd"/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продукцией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D42C6C">
        <w:rPr>
          <w:rFonts w:ascii="Times New Roman" w:eastAsia="Calibri" w:hAnsi="Times New Roman" w:cs="Times New Roman"/>
          <w:sz w:val="28"/>
          <w:szCs w:val="28"/>
        </w:rPr>
        <w:t>это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всех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видов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технического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обслуживания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и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C6C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E609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Это связано с тем, что проверка означает обязательное выполнение множества длительных операций, позволяющих проводить только одну выборочную проверку этих материалов. По этим причинам само транспортное средство и его компоненты могут быть выборочно досмотрены и использованы </w:t>
      </w:r>
      <w:r w:rsidR="00821392">
        <w:rPr>
          <w:rFonts w:ascii="Times New Roman" w:eastAsia="Calibri" w:hAnsi="Times New Roman" w:cs="Times New Roman"/>
          <w:sz w:val="28"/>
          <w:szCs w:val="28"/>
        </w:rPr>
        <w:t>на предмет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сокрытия контрабанды.</w:t>
      </w:r>
    </w:p>
    <w:p w14:paraId="75B726E3" w14:textId="66321958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В аналитических целях мы рассмотрим статистические данные по импорту и экспорту товаров из пересмотренных практик с 2019 по 2021 год. В таблице ниже представлена информация о процедурах таможенного оформления и процедурах проверки соответствия продукции.</w:t>
      </w:r>
    </w:p>
    <w:p w14:paraId="0E5BC914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723DCC6B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Совершение таможенных операций и проведения таможенного контроля товаров, подлежащих обязательному подтверждению соответствия </w:t>
      </w:r>
      <w:r w:rsidR="00BB198E">
        <w:rPr>
          <w:rFonts w:ascii="Times New Roman" w:eastAsia="Calibri" w:hAnsi="Times New Roman" w:cs="Times New Roman"/>
          <w:sz w:val="28"/>
          <w:szCs w:val="28"/>
        </w:rPr>
        <w:br/>
      </w:r>
      <w:r w:rsidRPr="00D42C6C">
        <w:rPr>
          <w:rFonts w:ascii="Times New Roman" w:eastAsia="Calibri" w:hAnsi="Times New Roman" w:cs="Times New Roman"/>
          <w:sz w:val="28"/>
          <w:szCs w:val="28"/>
        </w:rPr>
        <w:t>(количество партий)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167B332C" w14:textId="77777777" w:rsidTr="0051378E">
        <w:tc>
          <w:tcPr>
            <w:tcW w:w="1706" w:type="dxa"/>
          </w:tcPr>
          <w:p w14:paraId="47D8220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499D4107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30D47A04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6259C87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296B5A7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3247D41A" w14:textId="77777777" w:rsidTr="0051378E">
        <w:tc>
          <w:tcPr>
            <w:tcW w:w="1706" w:type="dxa"/>
          </w:tcPr>
          <w:p w14:paraId="0F66D696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</w:t>
            </w:r>
          </w:p>
        </w:tc>
        <w:tc>
          <w:tcPr>
            <w:tcW w:w="2036" w:type="dxa"/>
          </w:tcPr>
          <w:p w14:paraId="7742E36C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3476</w:t>
            </w:r>
          </w:p>
        </w:tc>
        <w:tc>
          <w:tcPr>
            <w:tcW w:w="1859" w:type="dxa"/>
          </w:tcPr>
          <w:p w14:paraId="5C1BA982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3408</w:t>
            </w:r>
          </w:p>
        </w:tc>
        <w:tc>
          <w:tcPr>
            <w:tcW w:w="1859" w:type="dxa"/>
          </w:tcPr>
          <w:p w14:paraId="2C42C30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1166</w:t>
            </w:r>
          </w:p>
        </w:tc>
        <w:tc>
          <w:tcPr>
            <w:tcW w:w="1885" w:type="dxa"/>
          </w:tcPr>
          <w:p w14:paraId="1841E05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34,21</w:t>
            </w:r>
          </w:p>
        </w:tc>
      </w:tr>
    </w:tbl>
    <w:p w14:paraId="08A0BE45" w14:textId="77777777" w:rsidR="00BB198E" w:rsidRDefault="00BB198E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001DC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1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, в 2021 году произошло сокращение количества партий, проходящих процедуру таможенного контроля товаров, </w:t>
      </w:r>
      <w:r w:rsidRPr="00D42C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подлежащих обязательному подтверждению соответствия, в связи со снижением товарооборота. </w:t>
      </w:r>
    </w:p>
    <w:p w14:paraId="10440F85" w14:textId="77777777" w:rsidR="00D42C6C" w:rsidRPr="00D42C6C" w:rsidRDefault="00BB198E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14:paraId="1E141671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Завершение процедуры таможенного контроля товаров, подлежащих обязательному подтверждению соответствия (количество партий с применением средств таможенного контроля (ПР))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11ED8379" w14:textId="77777777" w:rsidTr="0051378E">
        <w:tc>
          <w:tcPr>
            <w:tcW w:w="1706" w:type="dxa"/>
          </w:tcPr>
          <w:p w14:paraId="03ADBE94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3B74D8D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0CB02008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5BC9778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5AFC08E1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6F633C16" w14:textId="77777777" w:rsidTr="0051378E">
        <w:tc>
          <w:tcPr>
            <w:tcW w:w="1706" w:type="dxa"/>
          </w:tcPr>
          <w:p w14:paraId="5FD9635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 с ПР</w:t>
            </w:r>
          </w:p>
        </w:tc>
        <w:tc>
          <w:tcPr>
            <w:tcW w:w="2036" w:type="dxa"/>
          </w:tcPr>
          <w:p w14:paraId="31C5DFA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957</w:t>
            </w:r>
          </w:p>
        </w:tc>
        <w:tc>
          <w:tcPr>
            <w:tcW w:w="1859" w:type="dxa"/>
          </w:tcPr>
          <w:p w14:paraId="0F219642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689</w:t>
            </w:r>
          </w:p>
        </w:tc>
        <w:tc>
          <w:tcPr>
            <w:tcW w:w="1859" w:type="dxa"/>
          </w:tcPr>
          <w:p w14:paraId="168E293C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1885" w:type="dxa"/>
          </w:tcPr>
          <w:p w14:paraId="66D0B2A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58,2</w:t>
            </w:r>
          </w:p>
        </w:tc>
      </w:tr>
    </w:tbl>
    <w:p w14:paraId="4D04FC65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5397D1" w14:textId="77777777" w:rsidR="00BB198E" w:rsidRDefault="00D42C6C" w:rsidP="00E6096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2, за анализируемый период количество партий с ПР снизилось на 41,8%. </w:t>
      </w:r>
    </w:p>
    <w:p w14:paraId="48F400B2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53CB8959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Завершение процедуры таможенного контроля товаров, подлежащих обязательному подтверждению соответствия (количество партий с досмотром)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2A1580B7" w14:textId="77777777" w:rsidTr="0051378E">
        <w:tc>
          <w:tcPr>
            <w:tcW w:w="1706" w:type="dxa"/>
          </w:tcPr>
          <w:p w14:paraId="42610F9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20A11D02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5FE28BD3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111AFD0A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536A24E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487B27B5" w14:textId="77777777" w:rsidTr="0051378E">
        <w:tc>
          <w:tcPr>
            <w:tcW w:w="1706" w:type="dxa"/>
          </w:tcPr>
          <w:p w14:paraId="15F7B012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 с досмотром</w:t>
            </w:r>
          </w:p>
        </w:tc>
        <w:tc>
          <w:tcPr>
            <w:tcW w:w="2036" w:type="dxa"/>
          </w:tcPr>
          <w:p w14:paraId="5A2A4FD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59" w:type="dxa"/>
          </w:tcPr>
          <w:p w14:paraId="2446F3B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59" w:type="dxa"/>
          </w:tcPr>
          <w:p w14:paraId="51011EF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885" w:type="dxa"/>
          </w:tcPr>
          <w:p w14:paraId="330E590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135,5</w:t>
            </w:r>
          </w:p>
        </w:tc>
      </w:tr>
    </w:tbl>
    <w:p w14:paraId="6BE73F0F" w14:textId="77777777" w:rsidR="005D0275" w:rsidRDefault="005D0275" w:rsidP="00E60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F1861" w14:textId="77777777" w:rsidR="00D42C6C" w:rsidRPr="00D42C6C" w:rsidRDefault="00D42C6C" w:rsidP="00E60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3</w:t>
      </w:r>
      <w:r w:rsidRPr="00D42C6C">
        <w:rPr>
          <w:rFonts w:ascii="Times New Roman" w:eastAsia="Calibri" w:hAnsi="Times New Roman" w:cs="Times New Roman"/>
          <w:sz w:val="28"/>
          <w:szCs w:val="28"/>
        </w:rPr>
        <w:t>, в 2021 году по сравнению с уровнем 2020 года количество партий с досмотром увеличилось на 35,5%, что обусловлено применением ТСТК.</w:t>
      </w:r>
    </w:p>
    <w:p w14:paraId="534721F8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4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EF140A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Завершение процедуры таможенного контроля товаров, подлежащих обязательному подтверждению соответствия </w:t>
      </w:r>
      <w:r w:rsidR="00BB198E">
        <w:rPr>
          <w:rFonts w:ascii="Times New Roman" w:eastAsia="Calibri" w:hAnsi="Times New Roman" w:cs="Times New Roman"/>
          <w:sz w:val="28"/>
          <w:szCs w:val="28"/>
        </w:rPr>
        <w:br/>
      </w:r>
      <w:r w:rsidRPr="00D42C6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доначисленные</w:t>
      </w:r>
      <w:proofErr w:type="spellEnd"/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таможенные платежи)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17"/>
        <w:gridCol w:w="2116"/>
        <w:gridCol w:w="1934"/>
        <w:gridCol w:w="1934"/>
        <w:gridCol w:w="1952"/>
      </w:tblGrid>
      <w:tr w:rsidR="00D42C6C" w:rsidRPr="00D42C6C" w14:paraId="4FF6486F" w14:textId="77777777" w:rsidTr="0051378E">
        <w:tc>
          <w:tcPr>
            <w:tcW w:w="1724" w:type="dxa"/>
          </w:tcPr>
          <w:p w14:paraId="70E0A184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2" w:type="dxa"/>
          </w:tcPr>
          <w:p w14:paraId="74A135B8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7" w:type="dxa"/>
          </w:tcPr>
          <w:p w14:paraId="6796BBE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7" w:type="dxa"/>
          </w:tcPr>
          <w:p w14:paraId="1CB40BC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75" w:type="dxa"/>
          </w:tcPr>
          <w:p w14:paraId="4233955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2014B341" w14:textId="77777777" w:rsidTr="005D0275">
        <w:trPr>
          <w:trHeight w:val="631"/>
        </w:trPr>
        <w:tc>
          <w:tcPr>
            <w:tcW w:w="1724" w:type="dxa"/>
          </w:tcPr>
          <w:p w14:paraId="3645ABE2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2C6C">
              <w:rPr>
                <w:rFonts w:ascii="Times New Roman" w:eastAsia="Calibri" w:hAnsi="Times New Roman" w:cs="Times New Roman"/>
              </w:rPr>
              <w:t>Доначисленные</w:t>
            </w:r>
            <w:proofErr w:type="spellEnd"/>
            <w:r w:rsidRPr="00D42C6C">
              <w:rPr>
                <w:rFonts w:ascii="Times New Roman" w:eastAsia="Calibri" w:hAnsi="Times New Roman" w:cs="Times New Roman"/>
              </w:rPr>
              <w:t xml:space="preserve"> платежи</w:t>
            </w:r>
          </w:p>
        </w:tc>
        <w:tc>
          <w:tcPr>
            <w:tcW w:w="2032" w:type="dxa"/>
          </w:tcPr>
          <w:p w14:paraId="29DFC39C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1946,58</w:t>
            </w:r>
          </w:p>
        </w:tc>
        <w:tc>
          <w:tcPr>
            <w:tcW w:w="1857" w:type="dxa"/>
          </w:tcPr>
          <w:p w14:paraId="08600E98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3897,56</w:t>
            </w:r>
          </w:p>
        </w:tc>
        <w:tc>
          <w:tcPr>
            <w:tcW w:w="1857" w:type="dxa"/>
          </w:tcPr>
          <w:p w14:paraId="681C854E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8447,38</w:t>
            </w:r>
          </w:p>
        </w:tc>
        <w:tc>
          <w:tcPr>
            <w:tcW w:w="1875" w:type="dxa"/>
          </w:tcPr>
          <w:p w14:paraId="2932E1F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216,7</w:t>
            </w:r>
          </w:p>
        </w:tc>
      </w:tr>
    </w:tbl>
    <w:p w14:paraId="552D8041" w14:textId="77777777" w:rsidR="00D42C6C" w:rsidRPr="00D42C6C" w:rsidRDefault="00D42C6C" w:rsidP="00D42C6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9E2DEE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4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, в 2021 году по сравнению с уровнем 2020 года выросла сумма 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доначисленных</w:t>
      </w:r>
      <w:proofErr w:type="spellEnd"/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платежей, что свидетельствует об эффективности таможенного контроля с использованием ТСТК.</w:t>
      </w:r>
    </w:p>
    <w:p w14:paraId="4854E804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Далее рассмотрим таможенную процедуру таможенного транзита, направленную на вывоз товаров ЕАЭС по процедуре экспорта. </w:t>
      </w:r>
    </w:p>
    <w:p w14:paraId="7C55B226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lastRenderedPageBreak/>
        <w:t>Данные по процедуре завершения процедуры таможенного контроля товаров, подлежащих обязательному подтверждению соответствия представлены в таблицах ниже.</w:t>
      </w:r>
    </w:p>
    <w:p w14:paraId="7EA04DB1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5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D18319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Таможенная процедура, направленная на вывоз товаров ЕАЭС  (количество партий)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5430962A" w14:textId="77777777" w:rsidTr="0051378E">
        <w:tc>
          <w:tcPr>
            <w:tcW w:w="1706" w:type="dxa"/>
          </w:tcPr>
          <w:p w14:paraId="0E9F4368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0EE9A0C9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33C9F4B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65BEFFE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6B6D1E4E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35F8A0C4" w14:textId="77777777" w:rsidTr="005D0275">
        <w:trPr>
          <w:trHeight w:val="804"/>
        </w:trPr>
        <w:tc>
          <w:tcPr>
            <w:tcW w:w="1706" w:type="dxa"/>
          </w:tcPr>
          <w:p w14:paraId="66FD9E99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</w:t>
            </w:r>
          </w:p>
        </w:tc>
        <w:tc>
          <w:tcPr>
            <w:tcW w:w="2036" w:type="dxa"/>
          </w:tcPr>
          <w:p w14:paraId="2ABA4F84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1859" w:type="dxa"/>
          </w:tcPr>
          <w:p w14:paraId="48893F1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273</w:t>
            </w:r>
          </w:p>
        </w:tc>
        <w:tc>
          <w:tcPr>
            <w:tcW w:w="1859" w:type="dxa"/>
          </w:tcPr>
          <w:p w14:paraId="544526EC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85" w:type="dxa"/>
          </w:tcPr>
          <w:p w14:paraId="7BF30AF7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9,2</w:t>
            </w:r>
          </w:p>
        </w:tc>
      </w:tr>
    </w:tbl>
    <w:p w14:paraId="1E3C3C92" w14:textId="77777777" w:rsidR="00BB198E" w:rsidRDefault="00BB198E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EC7DD1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5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, в 2021 году по сравнению с уровнем 2020 года произошло сокращение количества партий, проходящих процедуру процедуры таможенного контроля товаров, подлежащих обязательному подтверждению соответствия, в связи со снижением товарооборота. </w:t>
      </w:r>
    </w:p>
    <w:p w14:paraId="16A36710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6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B583C4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Таможенная процедура процедуры таможенного контроля товаров, подлежащих обязательному подтверждению соответствия, направленная на вывоз товаров ЕАЭС (количество партий с ПР)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2188328A" w14:textId="77777777" w:rsidTr="0051378E">
        <w:tc>
          <w:tcPr>
            <w:tcW w:w="1706" w:type="dxa"/>
          </w:tcPr>
          <w:p w14:paraId="6F8CBD7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054D27B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7BFA6FC6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519EF14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599AC519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55572035" w14:textId="77777777" w:rsidTr="005D0275">
        <w:trPr>
          <w:trHeight w:val="744"/>
        </w:trPr>
        <w:tc>
          <w:tcPr>
            <w:tcW w:w="1706" w:type="dxa"/>
          </w:tcPr>
          <w:p w14:paraId="0107A58A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 с ПР</w:t>
            </w:r>
          </w:p>
        </w:tc>
        <w:tc>
          <w:tcPr>
            <w:tcW w:w="2036" w:type="dxa"/>
          </w:tcPr>
          <w:p w14:paraId="1D664499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859" w:type="dxa"/>
          </w:tcPr>
          <w:p w14:paraId="77627487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59" w:type="dxa"/>
          </w:tcPr>
          <w:p w14:paraId="171D474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5" w:type="dxa"/>
          </w:tcPr>
          <w:p w14:paraId="59455EEA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7,7</w:t>
            </w:r>
          </w:p>
        </w:tc>
      </w:tr>
    </w:tbl>
    <w:p w14:paraId="0A7B6BFF" w14:textId="77777777" w:rsidR="00D42C6C" w:rsidRPr="00D42C6C" w:rsidRDefault="00D42C6C" w:rsidP="00D42C6C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BEAC7D7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6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, за анализируемый период количество партий с ПР снизилось до 7,7% в 2021 году от уровня 2020 года. </w:t>
      </w:r>
    </w:p>
    <w:p w14:paraId="39015168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029CD582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>Таможенная процедура процедуры таможенного контроля товаров, подлежащих обязательному подтверждению соответствия, направленная на вывоз товаров ЕАЭС (количество партий с досмотром)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799"/>
        <w:gridCol w:w="2147"/>
        <w:gridCol w:w="1960"/>
        <w:gridCol w:w="1960"/>
        <w:gridCol w:w="1987"/>
      </w:tblGrid>
      <w:tr w:rsidR="00D42C6C" w:rsidRPr="00D42C6C" w14:paraId="7AD1AECF" w14:textId="77777777" w:rsidTr="0051378E">
        <w:tc>
          <w:tcPr>
            <w:tcW w:w="1706" w:type="dxa"/>
          </w:tcPr>
          <w:p w14:paraId="55B77DB8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6" w:type="dxa"/>
          </w:tcPr>
          <w:p w14:paraId="7B5EDD1A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9" w:type="dxa"/>
          </w:tcPr>
          <w:p w14:paraId="01551673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9" w:type="dxa"/>
          </w:tcPr>
          <w:p w14:paraId="384AF1C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85" w:type="dxa"/>
          </w:tcPr>
          <w:p w14:paraId="2E292087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33BF5D2D" w14:textId="77777777" w:rsidTr="0051378E">
        <w:tc>
          <w:tcPr>
            <w:tcW w:w="1706" w:type="dxa"/>
          </w:tcPr>
          <w:p w14:paraId="592C3E3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Количество партий с досмотром</w:t>
            </w:r>
          </w:p>
        </w:tc>
        <w:tc>
          <w:tcPr>
            <w:tcW w:w="2036" w:type="dxa"/>
          </w:tcPr>
          <w:p w14:paraId="115CEB41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9" w:type="dxa"/>
          </w:tcPr>
          <w:p w14:paraId="34B9D376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9" w:type="dxa"/>
          </w:tcPr>
          <w:p w14:paraId="57F22E3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85" w:type="dxa"/>
          </w:tcPr>
          <w:p w14:paraId="00E38704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4F664E15" w14:textId="77777777" w:rsidR="00BB198E" w:rsidRDefault="00BB198E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CE4C97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7</w:t>
      </w:r>
      <w:r w:rsidRPr="00D42C6C">
        <w:rPr>
          <w:rFonts w:ascii="Times New Roman" w:eastAsia="Calibri" w:hAnsi="Times New Roman" w:cs="Times New Roman"/>
          <w:sz w:val="28"/>
          <w:szCs w:val="28"/>
        </w:rPr>
        <w:t>, за 2020-2021 гг. досмотр партий не проводился.</w:t>
      </w:r>
    </w:p>
    <w:p w14:paraId="5F5D0DA0" w14:textId="77777777" w:rsidR="00D42C6C" w:rsidRPr="00D42C6C" w:rsidRDefault="00D42C6C" w:rsidP="00D42C6C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BB198E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0FE0ABFD" w14:textId="77777777" w:rsidR="00D42C6C" w:rsidRPr="00D42C6C" w:rsidRDefault="00D42C6C" w:rsidP="00BB19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lastRenderedPageBreak/>
        <w:t>Таможенная процедура таможенного контроля товаров, подлежащих обязательному подтверждению соответствия, направленная на вывоз товаров ЕАЭС (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доначисленные</w:t>
      </w:r>
      <w:proofErr w:type="spellEnd"/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таможенные платежи)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17"/>
        <w:gridCol w:w="2116"/>
        <w:gridCol w:w="1934"/>
        <w:gridCol w:w="1934"/>
        <w:gridCol w:w="1952"/>
      </w:tblGrid>
      <w:tr w:rsidR="00D42C6C" w:rsidRPr="00D42C6C" w14:paraId="472B3C50" w14:textId="77777777" w:rsidTr="0051378E">
        <w:tc>
          <w:tcPr>
            <w:tcW w:w="1724" w:type="dxa"/>
          </w:tcPr>
          <w:p w14:paraId="3932BBD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032" w:type="dxa"/>
          </w:tcPr>
          <w:p w14:paraId="6A5DD48A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857" w:type="dxa"/>
          </w:tcPr>
          <w:p w14:paraId="2CAFA85F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857" w:type="dxa"/>
          </w:tcPr>
          <w:p w14:paraId="69DB101D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875" w:type="dxa"/>
          </w:tcPr>
          <w:p w14:paraId="14060CF1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2021/2020, %</w:t>
            </w:r>
          </w:p>
        </w:tc>
      </w:tr>
      <w:tr w:rsidR="00D42C6C" w:rsidRPr="00D42C6C" w14:paraId="40CC3D70" w14:textId="77777777" w:rsidTr="0051378E">
        <w:tc>
          <w:tcPr>
            <w:tcW w:w="1724" w:type="dxa"/>
          </w:tcPr>
          <w:p w14:paraId="60B59CD5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42C6C">
              <w:rPr>
                <w:rFonts w:ascii="Times New Roman" w:eastAsia="Calibri" w:hAnsi="Times New Roman" w:cs="Times New Roman"/>
              </w:rPr>
              <w:t>Доначисленные</w:t>
            </w:r>
            <w:proofErr w:type="spellEnd"/>
            <w:r w:rsidRPr="00D42C6C">
              <w:rPr>
                <w:rFonts w:ascii="Times New Roman" w:eastAsia="Calibri" w:hAnsi="Times New Roman" w:cs="Times New Roman"/>
              </w:rPr>
              <w:t xml:space="preserve"> платежи</w:t>
            </w:r>
          </w:p>
        </w:tc>
        <w:tc>
          <w:tcPr>
            <w:tcW w:w="2032" w:type="dxa"/>
          </w:tcPr>
          <w:p w14:paraId="324E7411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1946,58</w:t>
            </w:r>
          </w:p>
        </w:tc>
        <w:tc>
          <w:tcPr>
            <w:tcW w:w="1857" w:type="dxa"/>
          </w:tcPr>
          <w:p w14:paraId="06C77E1B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3897,56</w:t>
            </w:r>
          </w:p>
        </w:tc>
        <w:tc>
          <w:tcPr>
            <w:tcW w:w="1857" w:type="dxa"/>
          </w:tcPr>
          <w:p w14:paraId="2E3D81B0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8447,38</w:t>
            </w:r>
          </w:p>
        </w:tc>
        <w:tc>
          <w:tcPr>
            <w:tcW w:w="1875" w:type="dxa"/>
          </w:tcPr>
          <w:p w14:paraId="08A51967" w14:textId="77777777" w:rsidR="00D42C6C" w:rsidRPr="00D42C6C" w:rsidRDefault="00D42C6C" w:rsidP="00D42C6C">
            <w:pPr>
              <w:rPr>
                <w:rFonts w:ascii="Times New Roman" w:eastAsia="Calibri" w:hAnsi="Times New Roman" w:cs="Times New Roman"/>
              </w:rPr>
            </w:pPr>
            <w:r w:rsidRPr="00D42C6C">
              <w:rPr>
                <w:rFonts w:ascii="Times New Roman" w:eastAsia="Calibri" w:hAnsi="Times New Roman" w:cs="Times New Roman"/>
              </w:rPr>
              <w:t>216,7</w:t>
            </w:r>
          </w:p>
        </w:tc>
      </w:tr>
    </w:tbl>
    <w:p w14:paraId="765DD44A" w14:textId="77777777" w:rsidR="00D42C6C" w:rsidRPr="00D42C6C" w:rsidRDefault="00D42C6C" w:rsidP="00D42C6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8A61C96" w14:textId="77777777" w:rsidR="00D42C6C" w:rsidRPr="00D42C6C" w:rsidRDefault="00D42C6C" w:rsidP="00D42C6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Согласно данным таблицы </w:t>
      </w:r>
      <w:r w:rsidR="00BB198E">
        <w:rPr>
          <w:rFonts w:ascii="Times New Roman" w:eastAsia="Calibri" w:hAnsi="Times New Roman" w:cs="Times New Roman"/>
          <w:sz w:val="28"/>
          <w:szCs w:val="28"/>
        </w:rPr>
        <w:t>8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, за анализируемый период выросла сумма 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доначисленных</w:t>
      </w:r>
      <w:proofErr w:type="spellEnd"/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платежей, что свидетельствует об эффективности таможенного контроля с использованием ТСТК. Рост </w:t>
      </w:r>
      <w:proofErr w:type="spellStart"/>
      <w:r w:rsidRPr="00D42C6C">
        <w:rPr>
          <w:rFonts w:ascii="Times New Roman" w:eastAsia="Calibri" w:hAnsi="Times New Roman" w:cs="Times New Roman"/>
          <w:sz w:val="28"/>
          <w:szCs w:val="28"/>
        </w:rPr>
        <w:t>доначисленных</w:t>
      </w:r>
      <w:proofErr w:type="spellEnd"/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платежей в 2021 года по сравнению с уровнем 2020 года составил 216,7%.</w:t>
      </w:r>
    </w:p>
    <w:p w14:paraId="67A36A26" w14:textId="63509DE4" w:rsidR="00D42C6C" w:rsidRPr="00D42C6C" w:rsidRDefault="00D42C6C" w:rsidP="00D42C6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BB1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свидетельствует о количестве товаров, досмотренных на </w:t>
      </w:r>
      <w:r w:rsidR="00C64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исследуемой </w:t>
      </w: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таможне, а также показано, сколько было возбуждено дел об АП</w:t>
      </w:r>
      <w:r w:rsidRPr="00D42C6C">
        <w:rPr>
          <w:rFonts w:ascii="Times New Roman" w:eastAsia="Calibri" w:hAnsi="Times New Roman" w:cs="Times New Roman"/>
          <w:sz w:val="28"/>
          <w:szCs w:val="28"/>
        </w:rPr>
        <w:t xml:space="preserve"> процедуры таможенного контроля товаров, подлежащих обязательному подтверждению соответствия.</w:t>
      </w: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</w:p>
    <w:p w14:paraId="032C34D6" w14:textId="77777777" w:rsidR="00D42C6C" w:rsidRPr="00D42C6C" w:rsidRDefault="00D42C6C" w:rsidP="00D42C6C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Таблица </w:t>
      </w:r>
      <w:r w:rsidR="00BB1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</w:p>
    <w:p w14:paraId="51F3A0FA" w14:textId="26C61A8F" w:rsidR="00D42C6C" w:rsidRPr="00D42C6C" w:rsidRDefault="00D42C6C" w:rsidP="00BB19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Количество товаров, предметов багажа, ручной клади, досмотренных на таможне, а также количество возбужденных дел об АП за 2019-2021 гг. (по процедуре </w:t>
      </w:r>
      <w:r w:rsidRPr="00D42C6C">
        <w:rPr>
          <w:rFonts w:ascii="Times New Roman" w:eastAsia="Calibri" w:hAnsi="Times New Roman" w:cs="Times New Roman"/>
          <w:sz w:val="28"/>
          <w:szCs w:val="28"/>
        </w:rPr>
        <w:t>таможенного контроля товаров, подлежащих обязательному подтверждению соответствия</w:t>
      </w:r>
      <w:r w:rsidRPr="00D42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2684"/>
        <w:gridCol w:w="1012"/>
        <w:gridCol w:w="959"/>
        <w:gridCol w:w="954"/>
        <w:gridCol w:w="1097"/>
        <w:gridCol w:w="791"/>
        <w:gridCol w:w="1230"/>
        <w:gridCol w:w="1126"/>
      </w:tblGrid>
      <w:tr w:rsidR="00D42C6C" w:rsidRPr="00D42C6C" w14:paraId="40D82C64" w14:textId="77777777" w:rsidTr="0051378E">
        <w:trPr>
          <w:trHeight w:hRule="exact" w:val="566"/>
        </w:trPr>
        <w:tc>
          <w:tcPr>
            <w:tcW w:w="2542" w:type="dxa"/>
            <w:vMerge w:val="restart"/>
          </w:tcPr>
          <w:p w14:paraId="0A73693F" w14:textId="77777777" w:rsidR="00D42C6C" w:rsidRPr="00D42C6C" w:rsidRDefault="00D42C6C" w:rsidP="00D42C6C">
            <w:pPr>
              <w:rPr>
                <w:rFonts w:ascii="Times New Roman" w:eastAsia="Courier New" w:hAnsi="Times New Roman" w:cs="Times New Roman"/>
                <w:lang w:bidi="ru-RU"/>
              </w:rPr>
            </w:pPr>
          </w:p>
        </w:tc>
        <w:tc>
          <w:tcPr>
            <w:tcW w:w="2771" w:type="dxa"/>
            <w:gridSpan w:val="3"/>
          </w:tcPr>
          <w:p w14:paraId="089958E0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Годы</w:t>
            </w:r>
          </w:p>
        </w:tc>
        <w:tc>
          <w:tcPr>
            <w:tcW w:w="1788" w:type="dxa"/>
            <w:gridSpan w:val="2"/>
          </w:tcPr>
          <w:p w14:paraId="7DF34BAF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Изменения 2020/2017 гг.</w:t>
            </w:r>
          </w:p>
        </w:tc>
        <w:tc>
          <w:tcPr>
            <w:tcW w:w="2232" w:type="dxa"/>
            <w:gridSpan w:val="2"/>
          </w:tcPr>
          <w:p w14:paraId="79AB6F42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Изменения 2021/2020 гг.</w:t>
            </w:r>
          </w:p>
        </w:tc>
      </w:tr>
      <w:tr w:rsidR="00D42C6C" w:rsidRPr="00D42C6C" w14:paraId="24A8777A" w14:textId="77777777" w:rsidTr="0051378E">
        <w:trPr>
          <w:trHeight w:hRule="exact" w:val="466"/>
        </w:trPr>
        <w:tc>
          <w:tcPr>
            <w:tcW w:w="2542" w:type="dxa"/>
            <w:vMerge/>
          </w:tcPr>
          <w:p w14:paraId="402BC415" w14:textId="77777777" w:rsidR="00D42C6C" w:rsidRPr="00D42C6C" w:rsidRDefault="00D42C6C" w:rsidP="00D42C6C">
            <w:pPr>
              <w:rPr>
                <w:rFonts w:ascii="Times New Roman" w:eastAsia="Courier New" w:hAnsi="Times New Roman" w:cs="Times New Roman"/>
                <w:lang w:bidi="ru-RU"/>
              </w:rPr>
            </w:pPr>
          </w:p>
        </w:tc>
        <w:tc>
          <w:tcPr>
            <w:tcW w:w="959" w:type="dxa"/>
          </w:tcPr>
          <w:p w14:paraId="6A0E259B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2017</w:t>
            </w:r>
          </w:p>
        </w:tc>
        <w:tc>
          <w:tcPr>
            <w:tcW w:w="908" w:type="dxa"/>
          </w:tcPr>
          <w:p w14:paraId="3BC58C3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2020</w:t>
            </w:r>
          </w:p>
        </w:tc>
        <w:tc>
          <w:tcPr>
            <w:tcW w:w="904" w:type="dxa"/>
          </w:tcPr>
          <w:p w14:paraId="24A00852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2021</w:t>
            </w:r>
          </w:p>
        </w:tc>
        <w:tc>
          <w:tcPr>
            <w:tcW w:w="1039" w:type="dxa"/>
          </w:tcPr>
          <w:p w14:paraId="2A6C076F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(+,-)</w:t>
            </w:r>
          </w:p>
        </w:tc>
        <w:tc>
          <w:tcPr>
            <w:tcW w:w="749" w:type="dxa"/>
          </w:tcPr>
          <w:p w14:paraId="0D65F868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1165" w:type="dxa"/>
          </w:tcPr>
          <w:p w14:paraId="1BF76169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(+,-)</w:t>
            </w:r>
          </w:p>
        </w:tc>
        <w:tc>
          <w:tcPr>
            <w:tcW w:w="1067" w:type="dxa"/>
          </w:tcPr>
          <w:p w14:paraId="7C60B263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%</w:t>
            </w:r>
          </w:p>
        </w:tc>
      </w:tr>
      <w:tr w:rsidR="00D42C6C" w:rsidRPr="00D42C6C" w14:paraId="27D180D6" w14:textId="77777777" w:rsidTr="0051378E">
        <w:trPr>
          <w:trHeight w:hRule="exact" w:val="562"/>
        </w:trPr>
        <w:tc>
          <w:tcPr>
            <w:tcW w:w="2542" w:type="dxa"/>
          </w:tcPr>
          <w:p w14:paraId="6DFC525E" w14:textId="77777777" w:rsidR="00D42C6C" w:rsidRPr="00D42C6C" w:rsidRDefault="00D42C6C" w:rsidP="00D42C6C">
            <w:pP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Проведено досмотров с применением ДРТ</w:t>
            </w:r>
          </w:p>
        </w:tc>
        <w:tc>
          <w:tcPr>
            <w:tcW w:w="959" w:type="dxa"/>
          </w:tcPr>
          <w:p w14:paraId="03F0D23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63154</w:t>
            </w:r>
          </w:p>
        </w:tc>
        <w:tc>
          <w:tcPr>
            <w:tcW w:w="908" w:type="dxa"/>
          </w:tcPr>
          <w:p w14:paraId="48BC66F6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51934</w:t>
            </w:r>
          </w:p>
        </w:tc>
        <w:tc>
          <w:tcPr>
            <w:tcW w:w="904" w:type="dxa"/>
          </w:tcPr>
          <w:p w14:paraId="7EC6B7F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25591</w:t>
            </w:r>
          </w:p>
        </w:tc>
        <w:tc>
          <w:tcPr>
            <w:tcW w:w="1039" w:type="dxa"/>
          </w:tcPr>
          <w:p w14:paraId="288B8AD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- 11220</w:t>
            </w:r>
          </w:p>
        </w:tc>
        <w:tc>
          <w:tcPr>
            <w:tcW w:w="749" w:type="dxa"/>
          </w:tcPr>
          <w:p w14:paraId="0C594DEB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82,2</w:t>
            </w:r>
          </w:p>
        </w:tc>
        <w:tc>
          <w:tcPr>
            <w:tcW w:w="1165" w:type="dxa"/>
          </w:tcPr>
          <w:p w14:paraId="590EE99D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- 26343</w:t>
            </w:r>
          </w:p>
        </w:tc>
        <w:tc>
          <w:tcPr>
            <w:tcW w:w="1067" w:type="dxa"/>
          </w:tcPr>
          <w:p w14:paraId="2C25238C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49,3</w:t>
            </w:r>
          </w:p>
        </w:tc>
      </w:tr>
      <w:tr w:rsidR="00D42C6C" w:rsidRPr="00D42C6C" w14:paraId="6D88292D" w14:textId="77777777" w:rsidTr="0051378E">
        <w:trPr>
          <w:trHeight w:hRule="exact" w:val="499"/>
        </w:trPr>
        <w:tc>
          <w:tcPr>
            <w:tcW w:w="2542" w:type="dxa"/>
          </w:tcPr>
          <w:p w14:paraId="2B485674" w14:textId="77777777" w:rsidR="00D42C6C" w:rsidRPr="00D42C6C" w:rsidRDefault="00D42C6C" w:rsidP="00D42C6C">
            <w:pPr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Возбуждено дел об АП</w:t>
            </w:r>
          </w:p>
        </w:tc>
        <w:tc>
          <w:tcPr>
            <w:tcW w:w="959" w:type="dxa"/>
          </w:tcPr>
          <w:p w14:paraId="11296946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324</w:t>
            </w:r>
          </w:p>
        </w:tc>
        <w:tc>
          <w:tcPr>
            <w:tcW w:w="908" w:type="dxa"/>
          </w:tcPr>
          <w:p w14:paraId="7CB860B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474</w:t>
            </w:r>
          </w:p>
        </w:tc>
        <w:tc>
          <w:tcPr>
            <w:tcW w:w="904" w:type="dxa"/>
          </w:tcPr>
          <w:p w14:paraId="48626454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613</w:t>
            </w:r>
          </w:p>
        </w:tc>
        <w:tc>
          <w:tcPr>
            <w:tcW w:w="1039" w:type="dxa"/>
          </w:tcPr>
          <w:p w14:paraId="01AFD871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150</w:t>
            </w:r>
          </w:p>
        </w:tc>
        <w:tc>
          <w:tcPr>
            <w:tcW w:w="749" w:type="dxa"/>
          </w:tcPr>
          <w:p w14:paraId="520F0612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146,3</w:t>
            </w:r>
          </w:p>
        </w:tc>
        <w:tc>
          <w:tcPr>
            <w:tcW w:w="1165" w:type="dxa"/>
          </w:tcPr>
          <w:p w14:paraId="2568C206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139</w:t>
            </w:r>
          </w:p>
        </w:tc>
        <w:tc>
          <w:tcPr>
            <w:tcW w:w="1067" w:type="dxa"/>
          </w:tcPr>
          <w:p w14:paraId="3EE836B9" w14:textId="77777777" w:rsidR="00D42C6C" w:rsidRPr="00D42C6C" w:rsidRDefault="00D42C6C" w:rsidP="00D42C6C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bidi="ru-RU"/>
              </w:rPr>
            </w:pPr>
            <w:r w:rsidRPr="00D42C6C">
              <w:rPr>
                <w:rFonts w:ascii="Times New Roman" w:eastAsia="Times New Roman" w:hAnsi="Times New Roman" w:cs="Times New Roman"/>
                <w:shd w:val="clear" w:color="auto" w:fill="FFFFFF"/>
              </w:rPr>
              <w:t>129,3</w:t>
            </w:r>
          </w:p>
        </w:tc>
      </w:tr>
    </w:tbl>
    <w:p w14:paraId="1BA0989D" w14:textId="77777777" w:rsidR="00BB198E" w:rsidRDefault="00BB198E" w:rsidP="00D42C6C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14:paraId="7B0B7CD9" w14:textId="18F5948D" w:rsidR="00D42C6C" w:rsidRDefault="00D42C6C" w:rsidP="00D42C6C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D42C6C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="00BB198E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т</w:t>
      </w:r>
      <w:r w:rsidRPr="00D42C6C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аблице </w:t>
      </w:r>
      <w:r w:rsidR="00BB198E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9</w:t>
      </w:r>
      <w:r w:rsidRPr="00D42C6C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, количество случаев инициации дела об АП увеличилось на 46,3% в период исследования 2020 года и на 29,3% в 2021 году.</w:t>
      </w:r>
    </w:p>
    <w:p w14:paraId="0D093167" w14:textId="77777777" w:rsidR="003B247D" w:rsidRPr="003B247D" w:rsidRDefault="003B247D" w:rsidP="003B24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7D">
        <w:rPr>
          <w:rFonts w:ascii="Times New Roman" w:eastAsia="Calibri" w:hAnsi="Times New Roman" w:cs="Times New Roman"/>
          <w:sz w:val="28"/>
          <w:szCs w:val="28"/>
        </w:rPr>
        <w:t xml:space="preserve">Таким образом, одной из проблем предоставления услуг участникам внешнеэкономической деятельности является проблема с </w:t>
      </w:r>
      <w:proofErr w:type="spellStart"/>
      <w:r w:rsidRPr="003B247D">
        <w:rPr>
          <w:rFonts w:ascii="Times New Roman" w:eastAsia="Calibri" w:hAnsi="Times New Roman" w:cs="Times New Roman"/>
          <w:sz w:val="28"/>
          <w:szCs w:val="28"/>
        </w:rPr>
        <w:t>подкарантинной</w:t>
      </w:r>
      <w:proofErr w:type="spellEnd"/>
      <w:r w:rsidRPr="003B247D">
        <w:rPr>
          <w:rFonts w:ascii="Times New Roman" w:eastAsia="Calibri" w:hAnsi="Times New Roman" w:cs="Times New Roman"/>
          <w:sz w:val="28"/>
          <w:szCs w:val="28"/>
        </w:rPr>
        <w:t xml:space="preserve"> продукцией — это практика всех видов технического обслуживания и содержания транспортных средств. </w:t>
      </w:r>
    </w:p>
    <w:p w14:paraId="34B8EE2C" w14:textId="77777777" w:rsidR="003B247D" w:rsidRPr="003B247D" w:rsidRDefault="003B247D" w:rsidP="003B24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7D">
        <w:rPr>
          <w:rFonts w:ascii="Times New Roman" w:eastAsia="Calibri" w:hAnsi="Times New Roman" w:cs="Times New Roman"/>
          <w:sz w:val="28"/>
          <w:szCs w:val="28"/>
        </w:rPr>
        <w:t xml:space="preserve">Следующая проблема предоставления услуг участникам внешнеэкономической деятельности заключается в сокращении таможенных </w:t>
      </w:r>
      <w:r w:rsidRPr="003B247D">
        <w:rPr>
          <w:rFonts w:ascii="Times New Roman" w:eastAsia="Calibri" w:hAnsi="Times New Roman" w:cs="Times New Roman"/>
          <w:sz w:val="28"/>
          <w:szCs w:val="28"/>
        </w:rPr>
        <w:lastRenderedPageBreak/>
        <w:t>процедур таможенного контроля товаров, подлежащих обязательному подтверждению соответствия.</w:t>
      </w:r>
    </w:p>
    <w:p w14:paraId="256C202D" w14:textId="50AC7530" w:rsidR="00C644A4" w:rsidRPr="003B247D" w:rsidRDefault="003B247D" w:rsidP="003B24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47D">
        <w:rPr>
          <w:rFonts w:ascii="Times New Roman" w:eastAsia="Calibri" w:hAnsi="Times New Roman" w:cs="Times New Roman"/>
          <w:sz w:val="28"/>
          <w:szCs w:val="28"/>
        </w:rPr>
        <w:t>Другая проблема</w:t>
      </w:r>
      <w:r w:rsidRPr="003B247D">
        <w:rPr>
          <w:rFonts w:ascii="Calibri" w:eastAsia="Calibri" w:hAnsi="Calibri" w:cs="Arial"/>
          <w:sz w:val="24"/>
          <w:szCs w:val="24"/>
        </w:rPr>
        <w:t xml:space="preserve"> </w:t>
      </w:r>
      <w:r w:rsidRPr="003B247D">
        <w:rPr>
          <w:rFonts w:ascii="Times New Roman" w:eastAsia="Calibri" w:hAnsi="Times New Roman" w:cs="Times New Roman"/>
          <w:sz w:val="28"/>
          <w:szCs w:val="28"/>
        </w:rPr>
        <w:t xml:space="preserve">предоставления услуг участникам внешнеэкономической деятельности заключается в отсутствии досмотра партий в рамках реализации таможенной процедуры таможенного контроля товаров, подлежащих обязательному подтверждению соответствия, направленная на вывоз товаров ЕАЭС. </w:t>
      </w:r>
      <w:bookmarkStart w:id="1" w:name="_GoBack"/>
      <w:bookmarkEnd w:id="1"/>
    </w:p>
    <w:p w14:paraId="36274CF9" w14:textId="1497FB57" w:rsidR="00C644A4" w:rsidRPr="00C644A4" w:rsidRDefault="00C644A4" w:rsidP="00C644A4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Своевременная постановка и решение перечисленных проблем позволят повысить качество услуг, предоставляемых таможенными органами участникам ВЭД в соответствии со стратегической целью их развития на требуемом уровне.</w:t>
      </w:r>
    </w:p>
    <w:p w14:paraId="7E75F7C4" w14:textId="77777777" w:rsidR="00C644A4" w:rsidRPr="00D42C6C" w:rsidRDefault="00C644A4" w:rsidP="00D42C6C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</w:p>
    <w:p w14:paraId="02C18B6B" w14:textId="77777777" w:rsidR="00D42C6C" w:rsidRPr="00D42C6C" w:rsidRDefault="00D42C6C" w:rsidP="00D42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0E41A4" w14:textId="77777777" w:rsidR="00D42C6C" w:rsidRPr="00D42C6C" w:rsidRDefault="00D42C6C" w:rsidP="003E72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C6C">
        <w:rPr>
          <w:rFonts w:ascii="Times New Roman" w:eastAsia="Calibri" w:hAnsi="Times New Roman" w:cs="Arial"/>
          <w:b/>
          <w:bCs/>
          <w:sz w:val="24"/>
          <w:szCs w:val="28"/>
        </w:rPr>
        <w:t>Библиографический список:</w:t>
      </w:r>
    </w:p>
    <w:p w14:paraId="7BF90C24" w14:textId="3A9723DF" w:rsidR="00D42C6C" w:rsidRDefault="004E2437" w:rsidP="003E720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2" w:name="bookmark34"/>
      <w:bookmarkEnd w:id="2"/>
      <w:r w:rsidRPr="00D42C6C">
        <w:rPr>
          <w:rFonts w:ascii="Times New Roman" w:eastAsia="Times New Roman" w:hAnsi="Times New Roman" w:cs="Times New Roman"/>
          <w:sz w:val="24"/>
          <w:szCs w:val="28"/>
        </w:rPr>
        <w:t>Макрусев В. В.</w:t>
      </w:r>
      <w:r w:rsidR="0031528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42C6C" w:rsidRPr="00D42C6C">
        <w:rPr>
          <w:rFonts w:ascii="Times New Roman" w:eastAsia="Times New Roman" w:hAnsi="Times New Roman" w:cs="Times New Roman"/>
          <w:sz w:val="24"/>
          <w:szCs w:val="28"/>
        </w:rPr>
        <w:t>Таможенный менеджмент: учебн</w:t>
      </w:r>
      <w:r w:rsidR="00F42FD2">
        <w:rPr>
          <w:rFonts w:ascii="Times New Roman" w:eastAsia="Times New Roman" w:hAnsi="Times New Roman" w:cs="Times New Roman"/>
          <w:sz w:val="24"/>
          <w:szCs w:val="28"/>
        </w:rPr>
        <w:t xml:space="preserve">ик </w:t>
      </w:r>
      <w:r w:rsidR="00D42C6C" w:rsidRPr="00D42C6C">
        <w:rPr>
          <w:rFonts w:ascii="Times New Roman" w:eastAsia="Times New Roman" w:hAnsi="Times New Roman" w:cs="Times New Roman"/>
          <w:sz w:val="24"/>
          <w:szCs w:val="28"/>
        </w:rPr>
        <w:t xml:space="preserve">/ В.В. Макрусев. - М.: Изд-во </w:t>
      </w:r>
      <w:r w:rsidR="00F42FD2">
        <w:rPr>
          <w:rFonts w:ascii="Times New Roman" w:eastAsia="Times New Roman" w:hAnsi="Times New Roman" w:cs="Times New Roman"/>
          <w:sz w:val="24"/>
          <w:szCs w:val="28"/>
        </w:rPr>
        <w:t>Дашков и К</w:t>
      </w:r>
      <w:r w:rsidR="00D42C6C" w:rsidRPr="00D42C6C">
        <w:rPr>
          <w:rFonts w:ascii="Times New Roman" w:eastAsia="Times New Roman" w:hAnsi="Times New Roman" w:cs="Times New Roman"/>
          <w:sz w:val="24"/>
          <w:szCs w:val="28"/>
        </w:rPr>
        <w:t>, 20</w:t>
      </w:r>
      <w:r w:rsidR="00F42FD2">
        <w:rPr>
          <w:rFonts w:ascii="Times New Roman" w:eastAsia="Times New Roman" w:hAnsi="Times New Roman" w:cs="Times New Roman"/>
          <w:sz w:val="24"/>
          <w:szCs w:val="28"/>
        </w:rPr>
        <w:t>22</w:t>
      </w:r>
      <w:r w:rsidR="00D42C6C" w:rsidRPr="00D42C6C">
        <w:rPr>
          <w:rFonts w:ascii="Times New Roman" w:eastAsia="Times New Roman" w:hAnsi="Times New Roman" w:cs="Times New Roman"/>
          <w:sz w:val="24"/>
          <w:szCs w:val="28"/>
        </w:rPr>
        <w:t>. - 278 с.</w:t>
      </w:r>
    </w:p>
    <w:p w14:paraId="48EDCD0D" w14:textId="035AD339" w:rsidR="004E2437" w:rsidRPr="00D42C6C" w:rsidRDefault="004E2437" w:rsidP="003E720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2C6C">
        <w:rPr>
          <w:rFonts w:ascii="Times New Roman" w:eastAsia="Times New Roman" w:hAnsi="Times New Roman" w:cs="Times New Roman"/>
          <w:sz w:val="24"/>
          <w:szCs w:val="28"/>
        </w:rPr>
        <w:t>Макрусев В. В.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Таможенные услу</w:t>
      </w:r>
      <w:r w:rsidR="0031528E">
        <w:rPr>
          <w:rFonts w:ascii="Times New Roman" w:eastAsia="Times New Roman" w:hAnsi="Times New Roman" w:cs="Times New Roman"/>
          <w:sz w:val="24"/>
          <w:szCs w:val="28"/>
        </w:rPr>
        <w:t>ги: маркетинг, регламентирование, управление: учебник. М.: Проспект, 2021. – 400 с.</w:t>
      </w:r>
    </w:p>
    <w:p w14:paraId="1C53B093" w14:textId="77777777" w:rsidR="00D42C6C" w:rsidRPr="00D42C6C" w:rsidRDefault="00D42C6C" w:rsidP="003E720C">
      <w:pPr>
        <w:widowControl w:val="0"/>
        <w:numPr>
          <w:ilvl w:val="0"/>
          <w:numId w:val="1"/>
        </w:numPr>
        <w:tabs>
          <w:tab w:val="left" w:pos="562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3" w:name="bookmark35"/>
      <w:bookmarkStart w:id="4" w:name="bookmark36"/>
      <w:bookmarkEnd w:id="3"/>
      <w:bookmarkEnd w:id="4"/>
      <w:r w:rsidRPr="00D42C6C">
        <w:rPr>
          <w:rFonts w:ascii="Times New Roman" w:eastAsia="Arial" w:hAnsi="Times New Roman" w:cs="Times New Roman"/>
          <w:sz w:val="24"/>
          <w:szCs w:val="28"/>
        </w:rPr>
        <w:t xml:space="preserve">О стратегических направлениях развития евразийской экономической интеграции до 2025 г: Утв. решением Высшего Евразийского экономического совета 11.12.2020 № 12.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0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http://www.consultant.ru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22.02.2022).</w:t>
      </w:r>
    </w:p>
    <w:p w14:paraId="51A9B5AB" w14:textId="77777777" w:rsidR="00D42C6C" w:rsidRPr="00D42C6C" w:rsidRDefault="00D42C6C" w:rsidP="003E720C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5" w:name="bookmark37"/>
      <w:bookmarkEnd w:id="5"/>
      <w:r w:rsidRPr="00D42C6C">
        <w:rPr>
          <w:rFonts w:ascii="Times New Roman" w:eastAsia="Arial" w:hAnsi="Times New Roman" w:cs="Times New Roman"/>
          <w:sz w:val="24"/>
          <w:szCs w:val="28"/>
        </w:rPr>
        <w:t xml:space="preserve">О таможенном регулировании в Российской Федерации и о внесении изменений в отдельные законодательные акты Российской Федерации: Федеральный закон от 03.08.2018 № 289-ФЗ.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="003E720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1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http://www.consultant.ru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23.02.2022).</w:t>
      </w:r>
    </w:p>
    <w:p w14:paraId="76AB38C9" w14:textId="77777777" w:rsidR="00D42C6C" w:rsidRPr="00D42C6C" w:rsidRDefault="00D42C6C" w:rsidP="003E720C">
      <w:pPr>
        <w:widowControl w:val="0"/>
        <w:numPr>
          <w:ilvl w:val="0"/>
          <w:numId w:val="1"/>
        </w:numPr>
        <w:tabs>
          <w:tab w:val="left" w:pos="558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6" w:name="bookmark38"/>
      <w:bookmarkStart w:id="7" w:name="bookmark39"/>
      <w:bookmarkStart w:id="8" w:name="bookmark40"/>
      <w:bookmarkEnd w:id="6"/>
      <w:bookmarkEnd w:id="7"/>
      <w:bookmarkEnd w:id="8"/>
      <w:r w:rsidRPr="00D42C6C">
        <w:rPr>
          <w:rFonts w:ascii="Times New Roman" w:eastAsia="Arial" w:hAnsi="Times New Roman" w:cs="Times New Roman"/>
          <w:sz w:val="24"/>
          <w:szCs w:val="28"/>
        </w:rPr>
        <w:t xml:space="preserve">План деятельности Министерства финансов Российской Федерации на 2020-2025 годы: Утв. Минфином России 25.08.2020.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2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http://www.consultant.ru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20.02.2022).</w:t>
      </w:r>
    </w:p>
    <w:p w14:paraId="21AE64CB" w14:textId="77777777" w:rsidR="00D42C6C" w:rsidRPr="00D42C6C" w:rsidRDefault="00D42C6C" w:rsidP="003E720C">
      <w:pPr>
        <w:widowControl w:val="0"/>
        <w:numPr>
          <w:ilvl w:val="0"/>
          <w:numId w:val="1"/>
        </w:numPr>
        <w:tabs>
          <w:tab w:val="left" w:pos="548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9" w:name="bookmark41"/>
      <w:bookmarkEnd w:id="9"/>
      <w:r w:rsidRPr="00D42C6C">
        <w:rPr>
          <w:rFonts w:ascii="Times New Roman" w:eastAsia="Arial" w:hAnsi="Times New Roman" w:cs="Times New Roman"/>
          <w:sz w:val="24"/>
          <w:szCs w:val="28"/>
        </w:rPr>
        <w:t xml:space="preserve">План мероприятий на период 2022-2024 годов по реализации Стратегии развития таможенной службы Российской Федерации до 2030 года.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3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http://www.consultant.ru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22.02.2022).</w:t>
      </w:r>
    </w:p>
    <w:p w14:paraId="3A5D7745" w14:textId="77777777" w:rsidR="00D42C6C" w:rsidRPr="00D42C6C" w:rsidRDefault="00D42C6C" w:rsidP="003E720C">
      <w:pPr>
        <w:widowControl w:val="0"/>
        <w:numPr>
          <w:ilvl w:val="0"/>
          <w:numId w:val="1"/>
        </w:numPr>
        <w:tabs>
          <w:tab w:val="left" w:pos="543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bookmarkStart w:id="10" w:name="bookmark76"/>
      <w:bookmarkStart w:id="11" w:name="bookmark77"/>
      <w:bookmarkStart w:id="12" w:name="bookmark78"/>
      <w:bookmarkEnd w:id="10"/>
      <w:bookmarkEnd w:id="11"/>
      <w:bookmarkEnd w:id="12"/>
      <w:r w:rsidRPr="00D42C6C">
        <w:rPr>
          <w:rFonts w:ascii="Times New Roman" w:eastAsia="Arial" w:hAnsi="Times New Roman" w:cs="Times New Roman"/>
          <w:sz w:val="24"/>
          <w:szCs w:val="28"/>
        </w:rPr>
        <w:t xml:space="preserve">Стратегия развития таможенной службы Российской Федерации до 2030 года: Распоряжение Правительства РФ от 23.05.2020 №1388-р.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4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http://www.consultant.ru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21.02.2022).</w:t>
      </w:r>
    </w:p>
    <w:p w14:paraId="2EB55C66" w14:textId="77777777" w:rsidR="00D42C6C" w:rsidRDefault="00D42C6C" w:rsidP="003E720C">
      <w:pPr>
        <w:widowControl w:val="0"/>
        <w:numPr>
          <w:ilvl w:val="0"/>
          <w:numId w:val="1"/>
        </w:numPr>
        <w:tabs>
          <w:tab w:val="left" w:pos="548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r w:rsidRPr="00D42C6C">
        <w:rPr>
          <w:rFonts w:ascii="Times New Roman" w:eastAsia="Arial" w:hAnsi="Times New Roman" w:cs="Times New Roman"/>
          <w:sz w:val="24"/>
          <w:szCs w:val="28"/>
        </w:rPr>
        <w:lastRenderedPageBreak/>
        <w:t xml:space="preserve">Таможенный кодекс Евразийского экономического союза: Приложение № 1 к Договору о Таможенном кодексе Евразийского экономического союза.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: </w:t>
      </w:r>
      <w:hyperlink r:id="rId15" w:history="1">
        <w:r w:rsidRPr="00D42C6C">
          <w:rPr>
            <w:rFonts w:ascii="Times New Roman" w:eastAsia="Arial" w:hAnsi="Times New Roman" w:cs="Times New Roman"/>
            <w:sz w:val="24"/>
            <w:szCs w:val="28"/>
          </w:rPr>
          <w:t>http://www.consultant</w:t>
        </w:r>
      </w:hyperlink>
      <w:r w:rsidRPr="00D42C6C">
        <w:rPr>
          <w:rFonts w:ascii="Times New Roman" w:eastAsia="Arial" w:hAnsi="Times New Roman" w:cs="Times New Roman"/>
          <w:sz w:val="24"/>
          <w:szCs w:val="28"/>
        </w:rPr>
        <w:t>.</w:t>
      </w:r>
      <w:r w:rsidRPr="00D42C6C">
        <w:rPr>
          <w:rFonts w:ascii="Times New Roman" w:eastAsia="Arial" w:hAnsi="Times New Roman" w:cs="Times New Roman"/>
          <w:sz w:val="24"/>
          <w:szCs w:val="28"/>
          <w:lang w:val="en-US"/>
        </w:rPr>
        <w:t>ru</w:t>
      </w:r>
      <w:r w:rsidRPr="00D42C6C">
        <w:rPr>
          <w:rFonts w:ascii="Times New Roman" w:eastAsia="Arial" w:hAnsi="Times New Roman" w:cs="Times New Roman"/>
          <w:sz w:val="24"/>
          <w:szCs w:val="28"/>
        </w:rPr>
        <w:t xml:space="preserve"> (дата обращения: 23.02.2022).</w:t>
      </w:r>
    </w:p>
    <w:p w14:paraId="7EA66FB8" w14:textId="77777777" w:rsidR="00BB198E" w:rsidRPr="00D42C6C" w:rsidRDefault="00BB198E" w:rsidP="0075617A">
      <w:pPr>
        <w:widowControl w:val="0"/>
        <w:numPr>
          <w:ilvl w:val="0"/>
          <w:numId w:val="1"/>
        </w:numPr>
        <w:tabs>
          <w:tab w:val="left" w:pos="548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8"/>
        </w:rPr>
      </w:pPr>
      <w:r>
        <w:rPr>
          <w:rFonts w:ascii="Times New Roman" w:eastAsia="Arial" w:hAnsi="Times New Roman" w:cs="Times New Roman"/>
          <w:sz w:val="24"/>
          <w:szCs w:val="28"/>
        </w:rPr>
        <w:t xml:space="preserve">Официальный сайт Федеральной таможенной службы </w:t>
      </w:r>
      <w:r w:rsidR="003E720C">
        <w:rPr>
          <w:rFonts w:ascii="Times New Roman" w:eastAsia="Arial" w:hAnsi="Times New Roman" w:cs="Times New Roman"/>
          <w:sz w:val="24"/>
          <w:szCs w:val="28"/>
          <w:lang w:val="en-US"/>
        </w:rPr>
        <w:t>URL</w:t>
      </w:r>
      <w:r w:rsidR="003E720C">
        <w:rPr>
          <w:rFonts w:ascii="Times New Roman" w:eastAsia="Arial" w:hAnsi="Times New Roman" w:cs="Times New Roman"/>
          <w:sz w:val="24"/>
          <w:szCs w:val="28"/>
        </w:rPr>
        <w:t xml:space="preserve">: </w:t>
      </w:r>
      <w:r w:rsidRPr="00BB198E">
        <w:rPr>
          <w:rFonts w:ascii="Times New Roman" w:eastAsia="Arial" w:hAnsi="Times New Roman" w:cs="Times New Roman"/>
          <w:sz w:val="24"/>
          <w:szCs w:val="28"/>
        </w:rPr>
        <w:t>https://customs.gov.ru</w:t>
      </w:r>
    </w:p>
    <w:p w14:paraId="5218EEA9" w14:textId="77777777" w:rsidR="000656F3" w:rsidRDefault="000656F3"/>
    <w:sectPr w:rsidR="000656F3" w:rsidSect="00D42C6C">
      <w:footerReference w:type="default" r:id="rId1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ABBD7" w14:textId="77777777" w:rsidR="00AD5077" w:rsidRDefault="00AD5077" w:rsidP="00BB198E">
      <w:pPr>
        <w:spacing w:after="0" w:line="240" w:lineRule="auto"/>
      </w:pPr>
      <w:r>
        <w:separator/>
      </w:r>
    </w:p>
  </w:endnote>
  <w:endnote w:type="continuationSeparator" w:id="0">
    <w:p w14:paraId="5AA50C29" w14:textId="77777777" w:rsidR="00AD5077" w:rsidRDefault="00AD5077" w:rsidP="00BB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462811"/>
      <w:docPartObj>
        <w:docPartGallery w:val="Page Numbers (Bottom of Page)"/>
        <w:docPartUnique/>
      </w:docPartObj>
    </w:sdtPr>
    <w:sdtEndPr/>
    <w:sdtContent>
      <w:p w14:paraId="70D86ECD" w14:textId="77777777" w:rsidR="00BB198E" w:rsidRDefault="00BB19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7D">
          <w:rPr>
            <w:noProof/>
          </w:rPr>
          <w:t>7</w:t>
        </w:r>
        <w:r>
          <w:fldChar w:fldCharType="end"/>
        </w:r>
      </w:p>
    </w:sdtContent>
  </w:sdt>
  <w:p w14:paraId="3A1F9E6B" w14:textId="77777777" w:rsidR="00BB198E" w:rsidRDefault="00BB19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73ECF" w14:textId="77777777" w:rsidR="00AD5077" w:rsidRDefault="00AD5077" w:rsidP="00BB198E">
      <w:pPr>
        <w:spacing w:after="0" w:line="240" w:lineRule="auto"/>
      </w:pPr>
      <w:r>
        <w:separator/>
      </w:r>
    </w:p>
  </w:footnote>
  <w:footnote w:type="continuationSeparator" w:id="0">
    <w:p w14:paraId="4EF95C6E" w14:textId="77777777" w:rsidR="00AD5077" w:rsidRDefault="00AD5077" w:rsidP="00BB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68A0"/>
    <w:multiLevelType w:val="hybridMultilevel"/>
    <w:tmpl w:val="1D0EEA18"/>
    <w:lvl w:ilvl="0" w:tplc="C004E15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7126FB"/>
    <w:multiLevelType w:val="hybridMultilevel"/>
    <w:tmpl w:val="566E2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656F3"/>
    <w:rsid w:val="0013488D"/>
    <w:rsid w:val="0031528E"/>
    <w:rsid w:val="003B247D"/>
    <w:rsid w:val="003E720C"/>
    <w:rsid w:val="00432FAC"/>
    <w:rsid w:val="004C5D07"/>
    <w:rsid w:val="004E2437"/>
    <w:rsid w:val="00534436"/>
    <w:rsid w:val="005B67A8"/>
    <w:rsid w:val="005D0275"/>
    <w:rsid w:val="0075617A"/>
    <w:rsid w:val="00821392"/>
    <w:rsid w:val="00A04876"/>
    <w:rsid w:val="00A90D41"/>
    <w:rsid w:val="00AD5077"/>
    <w:rsid w:val="00B74F95"/>
    <w:rsid w:val="00B77F94"/>
    <w:rsid w:val="00B905C1"/>
    <w:rsid w:val="00BB198E"/>
    <w:rsid w:val="00BC7B7A"/>
    <w:rsid w:val="00C644A4"/>
    <w:rsid w:val="00CC1A78"/>
    <w:rsid w:val="00D05FEF"/>
    <w:rsid w:val="00D42C6C"/>
    <w:rsid w:val="00DB4437"/>
    <w:rsid w:val="00E23CFD"/>
    <w:rsid w:val="00E60961"/>
    <w:rsid w:val="00F02E9A"/>
    <w:rsid w:val="00F14944"/>
    <w:rsid w:val="00F211D0"/>
    <w:rsid w:val="00F42FD2"/>
    <w:rsid w:val="00F5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9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A"/>
  </w:style>
  <w:style w:type="paragraph" w:styleId="1">
    <w:name w:val="heading 1"/>
    <w:basedOn w:val="a"/>
    <w:link w:val="10"/>
    <w:uiPriority w:val="9"/>
    <w:qFormat/>
    <w:rsid w:val="00BC7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">
    <w:name w:val="TNR1"/>
    <w:basedOn w:val="a"/>
    <w:link w:val="TNR10"/>
    <w:rsid w:val="0013488D"/>
    <w:rPr>
      <w:rFonts w:ascii="Times New Roman" w:hAnsi="Times New Roman" w:cs="Times New Roman"/>
      <w:sz w:val="28"/>
    </w:rPr>
  </w:style>
  <w:style w:type="character" w:customStyle="1" w:styleId="TNR10">
    <w:name w:val="TNR1 Знак"/>
    <w:basedOn w:val="a0"/>
    <w:link w:val="TNR1"/>
    <w:rsid w:val="0013488D"/>
    <w:rPr>
      <w:rFonts w:ascii="Times New Roman" w:hAnsi="Times New Roman" w:cs="Times New Roman"/>
      <w:sz w:val="28"/>
    </w:rPr>
  </w:style>
  <w:style w:type="paragraph" w:customStyle="1" w:styleId="Style13">
    <w:name w:val="Style13"/>
    <w:basedOn w:val="a"/>
    <w:uiPriority w:val="99"/>
    <w:qFormat/>
    <w:rsid w:val="00BC7B7A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C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7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7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7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C7B7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C7B7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">
    <w:name w:val="Сетка таблицы 11"/>
    <w:basedOn w:val="a1"/>
    <w:next w:val="12"/>
    <w:unhideWhenUsed/>
    <w:rsid w:val="00D42C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D42C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B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98E"/>
  </w:style>
  <w:style w:type="paragraph" w:styleId="a7">
    <w:name w:val="footer"/>
    <w:basedOn w:val="a"/>
    <w:link w:val="a8"/>
    <w:uiPriority w:val="99"/>
    <w:unhideWhenUsed/>
    <w:rsid w:val="00BB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98E"/>
  </w:style>
  <w:style w:type="character" w:styleId="a9">
    <w:name w:val="Hyperlink"/>
    <w:basedOn w:val="a0"/>
    <w:uiPriority w:val="99"/>
    <w:unhideWhenUsed/>
    <w:rsid w:val="0075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7A"/>
  </w:style>
  <w:style w:type="paragraph" w:styleId="1">
    <w:name w:val="heading 1"/>
    <w:basedOn w:val="a"/>
    <w:link w:val="10"/>
    <w:uiPriority w:val="9"/>
    <w:qFormat/>
    <w:rsid w:val="00BC7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">
    <w:name w:val="TNR1"/>
    <w:basedOn w:val="a"/>
    <w:link w:val="TNR10"/>
    <w:rsid w:val="0013488D"/>
    <w:rPr>
      <w:rFonts w:ascii="Times New Roman" w:hAnsi="Times New Roman" w:cs="Times New Roman"/>
      <w:sz w:val="28"/>
    </w:rPr>
  </w:style>
  <w:style w:type="character" w:customStyle="1" w:styleId="TNR10">
    <w:name w:val="TNR1 Знак"/>
    <w:basedOn w:val="a0"/>
    <w:link w:val="TNR1"/>
    <w:rsid w:val="0013488D"/>
    <w:rPr>
      <w:rFonts w:ascii="Times New Roman" w:hAnsi="Times New Roman" w:cs="Times New Roman"/>
      <w:sz w:val="28"/>
    </w:rPr>
  </w:style>
  <w:style w:type="paragraph" w:customStyle="1" w:styleId="Style13">
    <w:name w:val="Style13"/>
    <w:basedOn w:val="a"/>
    <w:uiPriority w:val="99"/>
    <w:qFormat/>
    <w:rsid w:val="00BC7B7A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C7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7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7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7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C7B7A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C7B7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1">
    <w:name w:val="Сетка таблицы 11"/>
    <w:basedOn w:val="a1"/>
    <w:next w:val="12"/>
    <w:unhideWhenUsed/>
    <w:rsid w:val="00D42C6C"/>
    <w:pPr>
      <w:spacing w:after="0" w:line="240" w:lineRule="auto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uiPriority w:val="99"/>
    <w:semiHidden/>
    <w:unhideWhenUsed/>
    <w:rsid w:val="00D42C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B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98E"/>
  </w:style>
  <w:style w:type="paragraph" w:styleId="a7">
    <w:name w:val="footer"/>
    <w:basedOn w:val="a"/>
    <w:link w:val="a8"/>
    <w:uiPriority w:val="99"/>
    <w:unhideWhenUsed/>
    <w:rsid w:val="00BB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98E"/>
  </w:style>
  <w:style w:type="character" w:styleId="a9">
    <w:name w:val="Hyperlink"/>
    <w:basedOn w:val="a0"/>
    <w:uiPriority w:val="99"/>
    <w:unhideWhenUsed/>
    <w:rsid w:val="0075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xa00lex@mail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rusev@mail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25</cp:revision>
  <dcterms:created xsi:type="dcterms:W3CDTF">2022-11-17T10:27:00Z</dcterms:created>
  <dcterms:modified xsi:type="dcterms:W3CDTF">2022-12-07T12:43:00Z</dcterms:modified>
</cp:coreProperties>
</file>