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D9EA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ИНТЕГРАЦИЯ </w:t>
      </w:r>
      <w:r w:rsidRPr="00A3563D">
        <w:rPr>
          <w:rFonts w:ascii="Times New Roman" w:hAnsi="Times New Roman" w:cs="Times New Roman"/>
          <w:b/>
          <w:bCs/>
          <w:sz w:val="28"/>
          <w:szCs w:val="28"/>
        </w:rPr>
        <w:t>ESG</w:t>
      </w: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-ПОДХОДА И ЦИФРОВЫХ ТЕХНОЛОГИЙ В СИСТЕМУ УПРАВЛЕНИЯ УСТОЙЧИВЫМ РАЗВИТИЕМ ПРЕДПРИЯТИЯ</w:t>
      </w:r>
    </w:p>
    <w:p w14:paraId="5558AA91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45945E3B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В статье рассматриваются вопросы трансформации системы управления устойчивым развитием предприятий розничной торговли в условиях рыночной нестабильности. Основное внимание уделяется интеграции принципов </w:t>
      </w:r>
      <w:r w:rsidRPr="00A3563D">
        <w:rPr>
          <w:rFonts w:ascii="Times New Roman" w:hAnsi="Times New Roman" w:cs="Times New Roman"/>
          <w:sz w:val="28"/>
          <w:szCs w:val="28"/>
        </w:rPr>
        <w:t>ESG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 и цифровых технологий в операционную деятельность. Проведен анализ финансово-экономического состояния предприятия за 2023–2025 гг., выявлены ключевые проблемные зоны в области логистики, управления запасами и персоналом. Предложена концепция интегрированной системы управления устойчивостью, основанная на применении цифрового двойника, </w:t>
      </w:r>
      <w:r w:rsidRPr="00A3563D">
        <w:rPr>
          <w:rFonts w:ascii="Times New Roman" w:hAnsi="Times New Roman" w:cs="Times New Roman"/>
          <w:sz w:val="28"/>
          <w:szCs w:val="28"/>
        </w:rPr>
        <w:t>SRM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-системы с </w:t>
      </w:r>
      <w:r w:rsidRPr="00A3563D">
        <w:rPr>
          <w:rFonts w:ascii="Times New Roman" w:hAnsi="Times New Roman" w:cs="Times New Roman"/>
          <w:sz w:val="28"/>
          <w:szCs w:val="28"/>
        </w:rPr>
        <w:t>ESG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>-фильтром и превентивного контура управления. Обоснована эффективность предложенных решений и их практическая применимость.</w:t>
      </w:r>
    </w:p>
    <w:p w14:paraId="67EFEA4D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 слова: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 устойчивое развитие, </w:t>
      </w:r>
      <w:r w:rsidRPr="00A3563D">
        <w:rPr>
          <w:rFonts w:ascii="Times New Roman" w:hAnsi="Times New Roman" w:cs="Times New Roman"/>
          <w:sz w:val="28"/>
          <w:szCs w:val="28"/>
        </w:rPr>
        <w:t>ESG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>, цифровизация, логистика, цифровой двойник, управление запасами, ритейл</w:t>
      </w:r>
    </w:p>
    <w:p w14:paraId="79FC8940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71E42CFA">
          <v:rect id="_x0000_i1079" style="width:0;height:1.5pt" o:hralign="center" o:hrstd="t" o:hr="t" fillcolor="#a0a0a0" stroked="f"/>
        </w:pict>
      </w:r>
    </w:p>
    <w:p w14:paraId="682A5110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Введение</w:t>
      </w:r>
    </w:p>
    <w:p w14:paraId="3A74B38C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Современные условия развития экономики характеризуются высокой степенью неопределенности, что требует пересмотра традиционных подходов к управлению предприятиями. В данном контексте устойчивое развитие перестает рассматриваться как статичное состояние и приобретает характер динамического процесса адаптации к внешним изменениям.</w:t>
      </w:r>
    </w:p>
    <w:p w14:paraId="2A18C872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Особую актуальность приобретает интеграция </w:t>
      </w:r>
      <w:r w:rsidRPr="00A3563D">
        <w:rPr>
          <w:rFonts w:ascii="Times New Roman" w:hAnsi="Times New Roman" w:cs="Times New Roman"/>
          <w:sz w:val="28"/>
          <w:szCs w:val="28"/>
        </w:rPr>
        <w:t>ESG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>-подхода и цифровых технологий, позволяющих обеспечить комплексное управление экономическими, социальными и экологическими аспектами деятельности.</w:t>
      </w:r>
    </w:p>
    <w:p w14:paraId="13CE74F0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Целью исследования является разработка и обоснование практических решений по формированию интегрированной системы управления устойчивостью предприятия розничной торговли.</w:t>
      </w:r>
    </w:p>
    <w:p w14:paraId="7268E583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:</w:t>
      </w:r>
    </w:p>
    <w:p w14:paraId="3D39D9FC" w14:textId="77777777" w:rsidR="00A3563D" w:rsidRPr="00A3563D" w:rsidRDefault="00A3563D" w:rsidP="00A3563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провести диагностику текущего состояния предприятия;</w:t>
      </w:r>
    </w:p>
    <w:p w14:paraId="6F6C7B13" w14:textId="77777777" w:rsidR="00A3563D" w:rsidRPr="00A3563D" w:rsidRDefault="00A3563D" w:rsidP="00A3563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выявить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ключевые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управленческие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2FBA82A3" w14:textId="77777777" w:rsidR="00A3563D" w:rsidRPr="00A3563D" w:rsidRDefault="00A3563D" w:rsidP="00A3563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разработать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комплекс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практических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решений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21326F13" w14:textId="77777777" w:rsidR="00A3563D" w:rsidRPr="00A3563D" w:rsidRDefault="00A3563D" w:rsidP="00A3563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обосновать их эффективность и применимость.</w:t>
      </w:r>
    </w:p>
    <w:p w14:paraId="26DBE6CC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599E6C6D">
          <v:rect id="_x0000_i1080" style="width:0;height:1.5pt" o:hralign="center" o:hrstd="t" o:hr="t" fillcolor="#a0a0a0" stroked="f"/>
        </w:pict>
      </w:r>
    </w:p>
    <w:p w14:paraId="5D31F11B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Анализ состояния и проблем устойчивого развития</w:t>
      </w:r>
    </w:p>
    <w:p w14:paraId="5FFB8035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Анализ финансово-экономических показателей за 2023–2025 гг. показал наличие противоречивых тенденций развития предприятия. Несмотря на рост валовой прибыли, наблюдается снижение выручки в 2025 году, а также уменьшение совокупных активов.</w:t>
      </w:r>
    </w:p>
    <w:p w14:paraId="4E726491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Это свидетельствует о наличии структурных проблем в операционной деятельности.</w:t>
      </w:r>
    </w:p>
    <w:p w14:paraId="1588FD6C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Диагностика устойчивости по четырем компонентам позволила выявить следующие особенности:</w:t>
      </w:r>
    </w:p>
    <w:p w14:paraId="436EDD8B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Экономическая</w:t>
      </w:r>
      <w:proofErr w:type="spellEnd"/>
      <w:r w:rsidRPr="00A35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компонента</w:t>
      </w:r>
      <w:proofErr w:type="spellEnd"/>
    </w:p>
    <w:p w14:paraId="0F35F803" w14:textId="77777777" w:rsidR="00A3563D" w:rsidRPr="00A3563D" w:rsidRDefault="00A3563D" w:rsidP="00A356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сохранение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положительной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рентабельности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24784EC1" w14:textId="77777777" w:rsidR="00A3563D" w:rsidRPr="00A3563D" w:rsidRDefault="00A3563D" w:rsidP="00A356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снижение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оборачиваемости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запасов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3671F66A" w14:textId="77777777" w:rsidR="00A3563D" w:rsidRPr="00A3563D" w:rsidRDefault="00A3563D" w:rsidP="00A3563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наличие значительного объема «замороженных» средств.</w:t>
      </w:r>
    </w:p>
    <w:p w14:paraId="4D07121B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Социальная</w:t>
      </w:r>
      <w:proofErr w:type="spellEnd"/>
      <w:r w:rsidRPr="00A35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компонента</w:t>
      </w:r>
      <w:proofErr w:type="spellEnd"/>
    </w:p>
    <w:p w14:paraId="234E683B" w14:textId="77777777" w:rsidR="00A3563D" w:rsidRPr="00A3563D" w:rsidRDefault="00A3563D" w:rsidP="00A356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рост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численности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персонала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120171C8" w14:textId="77777777" w:rsidR="00A3563D" w:rsidRPr="00A3563D" w:rsidRDefault="00A3563D" w:rsidP="00A356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высокая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текучесть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около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20%+);</w:t>
      </w:r>
    </w:p>
    <w:p w14:paraId="5C76D108" w14:textId="77777777" w:rsidR="00A3563D" w:rsidRPr="00A3563D" w:rsidRDefault="00A3563D" w:rsidP="00A3563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низкий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удовлетворенности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сотрудников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553E15C4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Экологическая</w:t>
      </w:r>
      <w:proofErr w:type="spellEnd"/>
      <w:r w:rsidRPr="00A35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компонента</w:t>
      </w:r>
      <w:proofErr w:type="spellEnd"/>
    </w:p>
    <w:p w14:paraId="49D5F5B1" w14:textId="77777777" w:rsidR="00A3563D" w:rsidRPr="00A3563D" w:rsidRDefault="00A3563D" w:rsidP="00A356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lastRenderedPageBreak/>
        <w:t>отсутствие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формализованной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ESG-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политики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303F59F3" w14:textId="77777777" w:rsidR="00A3563D" w:rsidRPr="00A3563D" w:rsidRDefault="00A3563D" w:rsidP="00A356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низкий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уровень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переработки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отходов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096A802B" w14:textId="77777777" w:rsidR="00A3563D" w:rsidRPr="00A3563D" w:rsidRDefault="00A3563D" w:rsidP="00A3563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высокая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ресурсоемкость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55C3B0A3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Технологическая</w:t>
      </w:r>
      <w:proofErr w:type="spellEnd"/>
      <w:r w:rsidRPr="00A35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b/>
          <w:bCs/>
          <w:sz w:val="28"/>
          <w:szCs w:val="28"/>
        </w:rPr>
        <w:t>компонента</w:t>
      </w:r>
      <w:proofErr w:type="spellEnd"/>
    </w:p>
    <w:p w14:paraId="4F5C2DD6" w14:textId="77777777" w:rsidR="00A3563D" w:rsidRPr="00A3563D" w:rsidRDefault="00A3563D" w:rsidP="00A356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фрагментарная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автоматизация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процессов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1E5755AB" w14:textId="77777777" w:rsidR="00A3563D" w:rsidRPr="00A3563D" w:rsidRDefault="00A3563D" w:rsidP="00A356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интегрированных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177E3C51" w14:textId="77777777" w:rsidR="00A3563D" w:rsidRPr="00A3563D" w:rsidRDefault="00A3563D" w:rsidP="00A356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значительные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потери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рабочего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времени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60DCB5EE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Интегральный показатель устойчивости находится на среднем уровне, что подтверждает необходимость системных преобразований.</w:t>
      </w:r>
    </w:p>
    <w:p w14:paraId="0E3C68BF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2DB28A4F">
          <v:rect id="_x0000_i1081" style="width:0;height:1.5pt" o:hralign="center" o:hrstd="t" o:hr="t" fillcolor="#a0a0a0" stroked="f"/>
        </w:pict>
      </w:r>
    </w:p>
    <w:p w14:paraId="3E8B0F79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Разработка практических решений</w:t>
      </w:r>
    </w:p>
    <w:p w14:paraId="77DD759D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В целях повышения устойчивости предложено формирование </w:t>
      </w: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интегрированной системы управления устойчивостью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>, включающей следующие ключевые элементы:</w:t>
      </w:r>
    </w:p>
    <w:p w14:paraId="05F5EE04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3.1 Цифровой двойник логистики</w:t>
      </w:r>
    </w:p>
    <w:p w14:paraId="46B8CB2C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Создание цифровой модели товаропотоков позволяет:</w:t>
      </w:r>
    </w:p>
    <w:p w14:paraId="3A5727E8" w14:textId="77777777" w:rsidR="00A3563D" w:rsidRPr="00A3563D" w:rsidRDefault="00A3563D" w:rsidP="00A356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оптимизировать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запасы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3CA2CFB7" w14:textId="77777777" w:rsidR="00A3563D" w:rsidRPr="00A3563D" w:rsidRDefault="00A3563D" w:rsidP="00A356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сократить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логистических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операций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4D07708D" w14:textId="77777777" w:rsidR="00A3563D" w:rsidRPr="00A3563D" w:rsidRDefault="00A3563D" w:rsidP="00A3563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повысить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точность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прогнозирования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спроса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3175BF98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Ожидаемый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эффект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:</w:t>
      </w:r>
    </w:p>
    <w:p w14:paraId="0D43F30D" w14:textId="77777777" w:rsidR="00A3563D" w:rsidRPr="00A3563D" w:rsidRDefault="00A3563D" w:rsidP="00A356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снижение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операционных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затрат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02D0027B" w14:textId="77777777" w:rsidR="00A3563D" w:rsidRPr="00A3563D" w:rsidRDefault="00A3563D" w:rsidP="00A356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высвобождение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оборотных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средств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00FBEA7A" w14:textId="77777777" w:rsidR="00A3563D" w:rsidRPr="00A3563D" w:rsidRDefault="00A3563D" w:rsidP="00A3563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рост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производительности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труда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5B5EE9DE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3570C414">
          <v:rect id="_x0000_i1082" style="width:0;height:1.5pt" o:hralign="center" o:hrstd="t" o:hr="t" fillcolor="#a0a0a0" stroked="f"/>
        </w:pict>
      </w:r>
    </w:p>
    <w:p w14:paraId="633EC62D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3.2 </w:t>
      </w:r>
      <w:r w:rsidRPr="00A3563D">
        <w:rPr>
          <w:rFonts w:ascii="Times New Roman" w:hAnsi="Times New Roman" w:cs="Times New Roman"/>
          <w:b/>
          <w:bCs/>
          <w:sz w:val="28"/>
          <w:szCs w:val="28"/>
        </w:rPr>
        <w:t>SRM</w:t>
      </w: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-система с </w:t>
      </w:r>
      <w:r w:rsidRPr="00A3563D">
        <w:rPr>
          <w:rFonts w:ascii="Times New Roman" w:hAnsi="Times New Roman" w:cs="Times New Roman"/>
          <w:b/>
          <w:bCs/>
          <w:sz w:val="28"/>
          <w:szCs w:val="28"/>
        </w:rPr>
        <w:t>ESG</w:t>
      </w: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-фильтром</w:t>
      </w:r>
    </w:p>
    <w:p w14:paraId="7A45A5F4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Внедрение системы оценки поставщиков с учетом </w:t>
      </w:r>
      <w:r w:rsidRPr="00A3563D">
        <w:rPr>
          <w:rFonts w:ascii="Times New Roman" w:hAnsi="Times New Roman" w:cs="Times New Roman"/>
          <w:sz w:val="28"/>
          <w:szCs w:val="28"/>
        </w:rPr>
        <w:t>ESG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>-критериев обеспечивает:</w:t>
      </w:r>
    </w:p>
    <w:p w14:paraId="5CFC7A46" w14:textId="77777777" w:rsidR="00A3563D" w:rsidRPr="00A3563D" w:rsidRDefault="00A3563D" w:rsidP="00A356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lastRenderedPageBreak/>
        <w:t>повышение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цепочки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поставок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5CEBBA5A" w14:textId="77777777" w:rsidR="00A3563D" w:rsidRPr="00A3563D" w:rsidRDefault="00A3563D" w:rsidP="00A356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снижение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рисков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5A58F040" w14:textId="77777777" w:rsidR="00A3563D" w:rsidRPr="00A3563D" w:rsidRDefault="00A3563D" w:rsidP="00A3563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устойчивой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бизнес-экосистемы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2105B41F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421F02C4">
          <v:rect id="_x0000_i1083" style="width:0;height:1.5pt" o:hralign="center" o:hrstd="t" o:hr="t" fillcolor="#a0a0a0" stroked="f"/>
        </w:pict>
      </w:r>
    </w:p>
    <w:p w14:paraId="72DBE02D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3.3 Превентивная система управления персоналом</w:t>
      </w:r>
    </w:p>
    <w:p w14:paraId="78341328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Предложена модель, основанная на:</w:t>
      </w:r>
    </w:p>
    <w:p w14:paraId="00CFECA2" w14:textId="77777777" w:rsidR="00A3563D" w:rsidRPr="00A3563D" w:rsidRDefault="00A3563D" w:rsidP="00A356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цифровом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обучении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сотрудников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43B5A325" w14:textId="77777777" w:rsidR="00A3563D" w:rsidRPr="00A3563D" w:rsidRDefault="00A3563D" w:rsidP="00A356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системе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мотивации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(KPI +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кайдзен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);</w:t>
      </w:r>
    </w:p>
    <w:p w14:paraId="2A40A74C" w14:textId="77777777" w:rsidR="00A3563D" w:rsidRPr="00A3563D" w:rsidRDefault="00A3563D" w:rsidP="00A3563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предиктивной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аналитике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текучести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кадров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0D5EE049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Эффект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:</w:t>
      </w:r>
    </w:p>
    <w:p w14:paraId="0BCF038D" w14:textId="77777777" w:rsidR="00A3563D" w:rsidRPr="00A3563D" w:rsidRDefault="00A3563D" w:rsidP="00A356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снижение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текучести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1FC7E016" w14:textId="77777777" w:rsidR="00A3563D" w:rsidRPr="00A3563D" w:rsidRDefault="00A3563D" w:rsidP="00A356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вовлеченности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51EC77BE" w14:textId="77777777" w:rsidR="00A3563D" w:rsidRPr="00A3563D" w:rsidRDefault="00A3563D" w:rsidP="00A3563D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рост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производительности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77BAA65C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3AB9E854">
          <v:rect id="_x0000_i1084" style="width:0;height:1.5pt" o:hralign="center" o:hrstd="t" o:hr="t" fillcolor="#a0a0a0" stroked="f"/>
        </w:pict>
      </w:r>
    </w:p>
    <w:p w14:paraId="4E8D1EAB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3.4 Программа экологической оптимизации</w:t>
      </w:r>
    </w:p>
    <w:p w14:paraId="16DE5AB8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Основные направления:</w:t>
      </w:r>
    </w:p>
    <w:p w14:paraId="6B4AFB17" w14:textId="77777777" w:rsidR="00A3563D" w:rsidRPr="00A3563D" w:rsidRDefault="00A3563D" w:rsidP="00A356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снижение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энергопотребления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368F8EAD" w14:textId="77777777" w:rsidR="00A3563D" w:rsidRPr="00A3563D" w:rsidRDefault="00A3563D" w:rsidP="00A356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переработка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отходов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3C615D49" w14:textId="77777777" w:rsidR="00A3563D" w:rsidRPr="00A3563D" w:rsidRDefault="00A3563D" w:rsidP="00A3563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оптимизация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логистики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7E449C92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t>Результат:</w:t>
      </w:r>
    </w:p>
    <w:p w14:paraId="29379230" w14:textId="77777777" w:rsidR="00A3563D" w:rsidRPr="00A3563D" w:rsidRDefault="00A3563D" w:rsidP="00A356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снижение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издержек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53F00CBC" w14:textId="77777777" w:rsidR="00A3563D" w:rsidRPr="00A3563D" w:rsidRDefault="00A3563D" w:rsidP="00A356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ESG-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показателей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3B256535" w14:textId="77777777" w:rsidR="00A3563D" w:rsidRPr="00A3563D" w:rsidRDefault="00A3563D" w:rsidP="00A3563D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рост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инвестиционной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привлекательности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24A88516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0912B12A">
          <v:rect id="_x0000_i1085" style="width:0;height:1.5pt" o:hralign="center" o:hrstd="t" o:hr="t" fillcolor="#a0a0a0" stroked="f"/>
        </w:pict>
      </w:r>
    </w:p>
    <w:p w14:paraId="700666DE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Методика реализации решений</w:t>
      </w:r>
    </w:p>
    <w:p w14:paraId="40A55699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Реализация предложенных мероприятий осуществляется на основе интеграции:</w:t>
      </w:r>
    </w:p>
    <w:p w14:paraId="21F8007A" w14:textId="77777777" w:rsidR="00A3563D" w:rsidRPr="00A3563D" w:rsidRDefault="00A3563D" w:rsidP="00A356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lastRenderedPageBreak/>
        <w:t>цикла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PDCA;</w:t>
      </w:r>
    </w:p>
    <w:p w14:paraId="42371A71" w14:textId="77777777" w:rsidR="00A3563D" w:rsidRPr="00A3563D" w:rsidRDefault="00A3563D" w:rsidP="00A356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цифровых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платформ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56FE3DE3" w14:textId="77777777" w:rsidR="00A3563D" w:rsidRPr="00A3563D" w:rsidRDefault="00A3563D" w:rsidP="00A3563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методов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предиктивной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аналитики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72990953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Алгоритм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включает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следующие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этапы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:</w:t>
      </w:r>
    </w:p>
    <w:p w14:paraId="7407A983" w14:textId="77777777" w:rsidR="00A3563D" w:rsidRPr="00A3563D" w:rsidRDefault="00A3563D" w:rsidP="00A356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KPI</w:t>
      </w:r>
    </w:p>
    <w:p w14:paraId="64FF0A3D" w14:textId="77777777" w:rsidR="00A3563D" w:rsidRPr="00A3563D" w:rsidRDefault="00A3563D" w:rsidP="00A356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Сбор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интеграция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данных</w:t>
      </w:r>
      <w:proofErr w:type="spellEnd"/>
    </w:p>
    <w:p w14:paraId="2738A58C" w14:textId="77777777" w:rsidR="00A3563D" w:rsidRPr="00A3563D" w:rsidRDefault="00A3563D" w:rsidP="00A356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отклонений</w:t>
      </w:r>
      <w:proofErr w:type="spellEnd"/>
    </w:p>
    <w:p w14:paraId="4333A81A" w14:textId="77777777" w:rsidR="00A3563D" w:rsidRPr="00A3563D" w:rsidRDefault="00A3563D" w:rsidP="00A356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Принятие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управленческих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решений</w:t>
      </w:r>
      <w:proofErr w:type="spellEnd"/>
    </w:p>
    <w:p w14:paraId="2FC4C8C9" w14:textId="77777777" w:rsidR="00A3563D" w:rsidRPr="00A3563D" w:rsidRDefault="00A3563D" w:rsidP="00A356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эффективности</w:t>
      </w:r>
      <w:proofErr w:type="spellEnd"/>
    </w:p>
    <w:p w14:paraId="2B578A9B" w14:textId="77777777" w:rsidR="00A3563D" w:rsidRPr="00A3563D" w:rsidRDefault="00A3563D" w:rsidP="00A3563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Самообучение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</w:p>
    <w:p w14:paraId="586D3001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Особую роль играет </w:t>
      </w: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превентивный контур управления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>, обеспечивающий раннее выявление рисков и предотвращение кризисных ситуаций.</w:t>
      </w:r>
    </w:p>
    <w:p w14:paraId="6FD76C14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2D235926">
          <v:rect id="_x0000_i1086" style="width:0;height:1.5pt" o:hralign="center" o:hrstd="t" o:hr="t" fillcolor="#a0a0a0" stroked="f"/>
        </w:pict>
      </w:r>
    </w:p>
    <w:p w14:paraId="365A33AD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Результаты и обсуждение</w:t>
      </w:r>
    </w:p>
    <w:p w14:paraId="3D7D49CA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Внедрение предложенных решений позволяет достичь:</w:t>
      </w:r>
    </w:p>
    <w:p w14:paraId="0A84B156" w14:textId="77777777" w:rsidR="00A3563D" w:rsidRPr="00A3563D" w:rsidRDefault="00A3563D" w:rsidP="00A356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сокращения времени логистических операций до 30–40%;</w:t>
      </w:r>
    </w:p>
    <w:p w14:paraId="1F93F9C0" w14:textId="77777777" w:rsidR="00A3563D" w:rsidRPr="00A3563D" w:rsidRDefault="00A3563D" w:rsidP="00A356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снижения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запасов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10–15%;</w:t>
      </w:r>
    </w:p>
    <w:p w14:paraId="0AE0F57F" w14:textId="77777777" w:rsidR="00A3563D" w:rsidRPr="00A3563D" w:rsidRDefault="00A3563D" w:rsidP="00A356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уменьшения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текучести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персонала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10–15%;</w:t>
      </w:r>
    </w:p>
    <w:p w14:paraId="7336CC32" w14:textId="77777777" w:rsidR="00A3563D" w:rsidRPr="00A3563D" w:rsidRDefault="00A3563D" w:rsidP="00A3563D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снижения отходов и энергопотребления до 20–30%.</w:t>
      </w:r>
    </w:p>
    <w:p w14:paraId="184489CF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Системный эффект проявляется в переходе предприятия к </w:t>
      </w: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антихрупкой модели развития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>, при которой внешние изменения становятся источником роста.</w:t>
      </w:r>
    </w:p>
    <w:p w14:paraId="1867968E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63D">
        <w:rPr>
          <w:rFonts w:ascii="Times New Roman" w:hAnsi="Times New Roman" w:cs="Times New Roman"/>
          <w:sz w:val="28"/>
          <w:szCs w:val="28"/>
        </w:rPr>
        <w:pict w14:anchorId="401FC5D2">
          <v:rect id="_x0000_i1087" style="width:0;height:1.5pt" o:hralign="center" o:hrstd="t" o:hr="t" fillcolor="#a0a0a0" stroked="f"/>
        </w:pict>
      </w:r>
    </w:p>
    <w:p w14:paraId="575463DF" w14:textId="77777777" w:rsidR="003A68AF" w:rsidRDefault="003A68AF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222F3C" w14:textId="77777777" w:rsidR="003A68AF" w:rsidRDefault="003A68AF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869196" w14:textId="77777777" w:rsidR="003A68AF" w:rsidRDefault="003A68AF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077C95" w14:textId="7E7ABBE1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6. Заключение</w:t>
      </w:r>
    </w:p>
    <w:p w14:paraId="0F434669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Проведенное исследование подтвердило необходимость комплексной трансформации системы управления предприятием в условиях современных экономических реалий.</w:t>
      </w:r>
    </w:p>
    <w:p w14:paraId="22F0DB4D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Научная новизна работы заключается в:</w:t>
      </w:r>
    </w:p>
    <w:p w14:paraId="0D19D272" w14:textId="77777777" w:rsidR="00A3563D" w:rsidRPr="00A3563D" w:rsidRDefault="00A3563D" w:rsidP="00A356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интеграции </w:t>
      </w:r>
      <w:r w:rsidRPr="00A3563D">
        <w:rPr>
          <w:rFonts w:ascii="Times New Roman" w:hAnsi="Times New Roman" w:cs="Times New Roman"/>
          <w:sz w:val="28"/>
          <w:szCs w:val="28"/>
        </w:rPr>
        <w:t>ESG</w:t>
      </w:r>
      <w:r w:rsidRPr="00A3563D">
        <w:rPr>
          <w:rFonts w:ascii="Times New Roman" w:hAnsi="Times New Roman" w:cs="Times New Roman"/>
          <w:sz w:val="28"/>
          <w:szCs w:val="28"/>
          <w:lang w:val="ru-RU"/>
        </w:rPr>
        <w:t xml:space="preserve"> и цифровизации в единую систему управления;</w:t>
      </w:r>
    </w:p>
    <w:p w14:paraId="32AB1F1B" w14:textId="77777777" w:rsidR="00A3563D" w:rsidRPr="00A3563D" w:rsidRDefault="00A3563D" w:rsidP="00A356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расширении модели устойчивости за счет технологической компоненты;</w:t>
      </w:r>
    </w:p>
    <w:p w14:paraId="69D5116B" w14:textId="77777777" w:rsidR="00A3563D" w:rsidRPr="00A3563D" w:rsidRDefault="00A3563D" w:rsidP="00A3563D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применении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концепции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антихрупкости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2E0A2212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63D">
        <w:rPr>
          <w:rFonts w:ascii="Times New Roman" w:hAnsi="Times New Roman" w:cs="Times New Roman"/>
          <w:sz w:val="28"/>
          <w:szCs w:val="28"/>
          <w:lang w:val="ru-RU"/>
        </w:rPr>
        <w:t>Практическая значимость заключается в разработке конкретных инструментов, применимых для предприятий розничной торговли.</w:t>
      </w:r>
    </w:p>
    <w:p w14:paraId="55C9CB1A" w14:textId="77777777" w:rsidR="00A3563D" w:rsidRPr="00A3563D" w:rsidRDefault="00A3563D" w:rsidP="00A3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Реализация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предложенных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решений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обеспечивает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:</w:t>
      </w:r>
    </w:p>
    <w:p w14:paraId="398197FC" w14:textId="77777777" w:rsidR="00A3563D" w:rsidRPr="00A3563D" w:rsidRDefault="00A3563D" w:rsidP="00A356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устойчивости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3BB07BD5" w14:textId="77777777" w:rsidR="00A3563D" w:rsidRPr="00A3563D" w:rsidRDefault="00A3563D" w:rsidP="00A356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улучшение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операционной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эффективности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;</w:t>
      </w:r>
    </w:p>
    <w:p w14:paraId="7C8B79AF" w14:textId="77777777" w:rsidR="00A3563D" w:rsidRPr="00A3563D" w:rsidRDefault="00A3563D" w:rsidP="00A3563D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63D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долгосрочных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конкурентных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63D">
        <w:rPr>
          <w:rFonts w:ascii="Times New Roman" w:hAnsi="Times New Roman" w:cs="Times New Roman"/>
          <w:sz w:val="28"/>
          <w:szCs w:val="28"/>
        </w:rPr>
        <w:t>преимуществ</w:t>
      </w:r>
      <w:proofErr w:type="spellEnd"/>
      <w:r w:rsidRPr="00A3563D">
        <w:rPr>
          <w:rFonts w:ascii="Times New Roman" w:hAnsi="Times New Roman" w:cs="Times New Roman"/>
          <w:sz w:val="28"/>
          <w:szCs w:val="28"/>
        </w:rPr>
        <w:t>.</w:t>
      </w:r>
    </w:p>
    <w:p w14:paraId="3E2B424E" w14:textId="48C46B3F" w:rsidR="002471E1" w:rsidRPr="002471E1" w:rsidRDefault="002471E1" w:rsidP="002471E1">
      <w:pPr>
        <w:spacing w:after="0" w:line="240" w:lineRule="auto"/>
        <w:ind w:firstLine="709"/>
        <w:jc w:val="both"/>
        <w:rPr>
          <w:color w:val="002060"/>
          <w:sz w:val="16"/>
          <w:szCs w:val="16"/>
        </w:rPr>
      </w:pPr>
    </w:p>
    <w:sectPr w:rsidR="002471E1" w:rsidRPr="00247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1BBD"/>
    <w:multiLevelType w:val="multilevel"/>
    <w:tmpl w:val="A4F2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732A8"/>
    <w:multiLevelType w:val="multilevel"/>
    <w:tmpl w:val="3AE8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F4EBC"/>
    <w:multiLevelType w:val="multilevel"/>
    <w:tmpl w:val="8F5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F4876"/>
    <w:multiLevelType w:val="multilevel"/>
    <w:tmpl w:val="4E92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74659"/>
    <w:multiLevelType w:val="multilevel"/>
    <w:tmpl w:val="FC36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65D2F"/>
    <w:multiLevelType w:val="multilevel"/>
    <w:tmpl w:val="29E6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81850"/>
    <w:multiLevelType w:val="multilevel"/>
    <w:tmpl w:val="BF1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443FE"/>
    <w:multiLevelType w:val="multilevel"/>
    <w:tmpl w:val="56F6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67268"/>
    <w:multiLevelType w:val="multilevel"/>
    <w:tmpl w:val="9336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1D6F"/>
    <w:multiLevelType w:val="multilevel"/>
    <w:tmpl w:val="D3A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F736D"/>
    <w:multiLevelType w:val="multilevel"/>
    <w:tmpl w:val="C82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A59F0"/>
    <w:multiLevelType w:val="multilevel"/>
    <w:tmpl w:val="0AB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125F8"/>
    <w:multiLevelType w:val="multilevel"/>
    <w:tmpl w:val="C168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91068"/>
    <w:multiLevelType w:val="multilevel"/>
    <w:tmpl w:val="415A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9782A"/>
    <w:multiLevelType w:val="multilevel"/>
    <w:tmpl w:val="66F2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73B53"/>
    <w:multiLevelType w:val="multilevel"/>
    <w:tmpl w:val="4620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9783B"/>
    <w:multiLevelType w:val="multilevel"/>
    <w:tmpl w:val="5DFC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392694">
    <w:abstractNumId w:val="1"/>
  </w:num>
  <w:num w:numId="2" w16cid:durableId="853569668">
    <w:abstractNumId w:val="0"/>
  </w:num>
  <w:num w:numId="3" w16cid:durableId="833573778">
    <w:abstractNumId w:val="7"/>
  </w:num>
  <w:num w:numId="4" w16cid:durableId="1234968443">
    <w:abstractNumId w:val="6"/>
  </w:num>
  <w:num w:numId="5" w16cid:durableId="101609285">
    <w:abstractNumId w:val="14"/>
  </w:num>
  <w:num w:numId="6" w16cid:durableId="1188830098">
    <w:abstractNumId w:val="16"/>
  </w:num>
  <w:num w:numId="7" w16cid:durableId="1078751451">
    <w:abstractNumId w:val="15"/>
  </w:num>
  <w:num w:numId="8" w16cid:durableId="852449728">
    <w:abstractNumId w:val="11"/>
  </w:num>
  <w:num w:numId="9" w16cid:durableId="1030256976">
    <w:abstractNumId w:val="12"/>
  </w:num>
  <w:num w:numId="10" w16cid:durableId="1484544503">
    <w:abstractNumId w:val="9"/>
  </w:num>
  <w:num w:numId="11" w16cid:durableId="1208371779">
    <w:abstractNumId w:val="2"/>
  </w:num>
  <w:num w:numId="12" w16cid:durableId="1008950239">
    <w:abstractNumId w:val="5"/>
  </w:num>
  <w:num w:numId="13" w16cid:durableId="1496842381">
    <w:abstractNumId w:val="10"/>
  </w:num>
  <w:num w:numId="14" w16cid:durableId="1171406046">
    <w:abstractNumId w:val="13"/>
  </w:num>
  <w:num w:numId="15" w16cid:durableId="1302809612">
    <w:abstractNumId w:val="8"/>
  </w:num>
  <w:num w:numId="16" w16cid:durableId="768698889">
    <w:abstractNumId w:val="4"/>
  </w:num>
  <w:num w:numId="17" w16cid:durableId="1106461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A2"/>
    <w:rsid w:val="00063C4E"/>
    <w:rsid w:val="002471E1"/>
    <w:rsid w:val="003A68AF"/>
    <w:rsid w:val="004260A2"/>
    <w:rsid w:val="007844CD"/>
    <w:rsid w:val="007A4D06"/>
    <w:rsid w:val="00904E48"/>
    <w:rsid w:val="00A3563D"/>
    <w:rsid w:val="00A9200F"/>
    <w:rsid w:val="00BC592D"/>
    <w:rsid w:val="00BC62A2"/>
    <w:rsid w:val="00C76A48"/>
    <w:rsid w:val="00F872E5"/>
    <w:rsid w:val="00F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CDC9"/>
  <w15:chartTrackingRefBased/>
  <w15:docId w15:val="{C85E7F18-8A67-4F28-83F6-E1120CAC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594</Words>
  <Characters>5111</Characters>
  <Application>Microsoft Office Word</Application>
  <DocSecurity>0</DocSecurity>
  <Lines>127</Lines>
  <Paragraphs>107</Paragraphs>
  <ScaleCrop>false</ScaleCrop>
  <Company>Novo Nordisk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EZPH (Elizaveta Panichenko)</dc:creator>
  <cp:keywords/>
  <dc:description/>
  <cp:lastModifiedBy>EZPH (Elizaveta Panichenko)</cp:lastModifiedBy>
  <cp:revision>10</cp:revision>
  <dcterms:created xsi:type="dcterms:W3CDTF">2026-06-11T15:52:00Z</dcterms:created>
  <dcterms:modified xsi:type="dcterms:W3CDTF">2026-06-12T13:52:00Z</dcterms:modified>
</cp:coreProperties>
</file>