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BB34F" w14:textId="77777777" w:rsidR="00B55EAE" w:rsidRPr="00B55EAE" w:rsidRDefault="00B55EAE" w:rsidP="00B55EAE">
      <w:pPr>
        <w:spacing w:line="276" w:lineRule="auto"/>
        <w:rPr>
          <w:rFonts w:cs="Times New Roman"/>
          <w:color w:val="000000"/>
        </w:rPr>
      </w:pPr>
      <w:r w:rsidRPr="00B55EAE">
        <w:rPr>
          <w:rFonts w:cs="Times New Roman"/>
          <w:color w:val="000000"/>
        </w:rPr>
        <w:t>УДК 332.14</w:t>
      </w:r>
    </w:p>
    <w:p w14:paraId="1BB6DF41" w14:textId="77777777" w:rsidR="00DA2276" w:rsidRDefault="008E598B">
      <w:pPr>
        <w:spacing w:line="276" w:lineRule="auto"/>
        <w:jc w:val="center"/>
      </w:pPr>
      <w:r>
        <w:rPr>
          <w:rFonts w:cs="Times New Roman"/>
          <w:b/>
          <w:color w:val="000000"/>
        </w:rPr>
        <w:t>УПРАВЛЕНИЕ РИСКАМИ ПРИ ОБЕСПЕЧЕНИИ ЭКОНОМИЧЕСКОЙ БЕЗОПАСНОСТИ РЕГИОНА</w:t>
      </w:r>
    </w:p>
    <w:p w14:paraId="519F91E9" w14:textId="24327766" w:rsidR="00DA2276" w:rsidRDefault="00070A13">
      <w:pPr>
        <w:spacing w:line="276" w:lineRule="auto"/>
        <w:jc w:val="center"/>
      </w:pPr>
      <w:r>
        <w:rPr>
          <w:rFonts w:cs="Times New Roman"/>
          <w:color w:val="000000"/>
        </w:rPr>
        <w:t>Кононенко Надежда Викторовна</w:t>
      </w:r>
    </w:p>
    <w:p w14:paraId="265D4E6B" w14:textId="017B5559" w:rsidR="00DA2276" w:rsidRDefault="00070A13">
      <w:pPr>
        <w:spacing w:line="276" w:lineRule="auto"/>
        <w:jc w:val="center"/>
      </w:pPr>
      <w:r>
        <w:rPr>
          <w:rFonts w:cs="Times New Roman"/>
          <w:color w:val="000000"/>
        </w:rPr>
        <w:t>Начальник управления безопасности</w:t>
      </w:r>
    </w:p>
    <w:p w14:paraId="62B81FAC" w14:textId="265B1D9F" w:rsidR="00070A13" w:rsidRPr="00070A13" w:rsidRDefault="00070A13" w:rsidP="00070A13">
      <w:pPr>
        <w:spacing w:line="276" w:lineRule="auto"/>
        <w:jc w:val="center"/>
        <w:rPr>
          <w:rFonts w:cs="Times New Roman"/>
          <w:color w:val="000000"/>
        </w:rPr>
      </w:pPr>
      <w:r w:rsidRPr="00070A13">
        <w:rPr>
          <w:rFonts w:cs="Times New Roman"/>
          <w:color w:val="000000"/>
        </w:rPr>
        <w:t>Федеральное государственное бюджетное образовательное учреждение высшего образования</w:t>
      </w:r>
    </w:p>
    <w:p w14:paraId="4CA404E4" w14:textId="3D62240B" w:rsidR="00070A13" w:rsidRPr="00070A13" w:rsidRDefault="00070A13" w:rsidP="00070A13">
      <w:pPr>
        <w:spacing w:line="276" w:lineRule="auto"/>
        <w:jc w:val="center"/>
        <w:rPr>
          <w:rFonts w:cs="Times New Roman"/>
          <w:color w:val="000000"/>
        </w:rPr>
      </w:pPr>
      <w:r w:rsidRPr="00070A13">
        <w:rPr>
          <w:rFonts w:cs="Times New Roman"/>
          <w:color w:val="000000"/>
        </w:rPr>
        <w:t>«Херсонский государственный педагогический университет»</w:t>
      </w:r>
      <w:r>
        <w:rPr>
          <w:rFonts w:cs="Times New Roman"/>
          <w:color w:val="000000"/>
        </w:rPr>
        <w:t>,</w:t>
      </w:r>
    </w:p>
    <w:p w14:paraId="649628D3" w14:textId="4CD0A66D" w:rsidR="00DA2276" w:rsidRPr="006E39CF" w:rsidRDefault="00070A13">
      <w:pPr>
        <w:spacing w:line="276" w:lineRule="auto"/>
        <w:jc w:val="center"/>
      </w:pPr>
      <w:r>
        <w:rPr>
          <w:rFonts w:cs="Times New Roman"/>
          <w:color w:val="000000"/>
        </w:rPr>
        <w:t>г. Херсон</w:t>
      </w:r>
    </w:p>
    <w:p w14:paraId="6FA90B34" w14:textId="7959AEC9" w:rsidR="00DA2276" w:rsidRPr="00070A13" w:rsidRDefault="008E598B">
      <w:pPr>
        <w:spacing w:line="276" w:lineRule="auto"/>
        <w:jc w:val="center"/>
        <w:rPr>
          <w:lang w:val="en-US"/>
        </w:rPr>
      </w:pPr>
      <w:r w:rsidRPr="00070A13">
        <w:rPr>
          <w:rFonts w:cs="Times New Roman"/>
          <w:color w:val="000000"/>
          <w:lang w:val="en-US"/>
        </w:rPr>
        <w:t xml:space="preserve">e-mail: </w:t>
      </w:r>
      <w:r w:rsidR="00070A13">
        <w:rPr>
          <w:rFonts w:cs="Times New Roman"/>
          <w:color w:val="000000"/>
          <w:lang w:val="en-US"/>
        </w:rPr>
        <w:t>nadezhda-kononenko@internet.ru</w:t>
      </w:r>
    </w:p>
    <w:p w14:paraId="431FC0F4" w14:textId="77777777" w:rsidR="00DA2276" w:rsidRDefault="008E598B">
      <w:pPr>
        <w:spacing w:line="276" w:lineRule="auto"/>
        <w:jc w:val="both"/>
      </w:pPr>
      <w:r>
        <w:rPr>
          <w:rFonts w:cs="Times New Roman"/>
          <w:b/>
          <w:color w:val="000000"/>
        </w:rPr>
        <w:t xml:space="preserve">Аннотация: </w:t>
      </w:r>
      <w:r>
        <w:rPr>
          <w:rFonts w:cs="Times New Roman"/>
          <w:color w:val="000000"/>
        </w:rPr>
        <w:t>Обеспечение экономической безопасности территориальных систем остается острым практическим вопросом в условиях нарастающей геополитической нестабильности. В статье систематизированы теоретические подходы к трактовке понятий «риск», «угроза» и «экономическая безопасность региона»; предложена авторская классификация рисков по восьми функциональным блокам; охарактеризован состав индикаторов с пороговыми значениями. Описан механизм риск-менеджмента, включающий этапы идентификации, оценки, выбора стратегии воздействия и мониторинга. Сформулированы рекомендации по совершенствованию системы управления рисками на субрегиональном уровне.</w:t>
      </w:r>
    </w:p>
    <w:p w14:paraId="343A1C3F" w14:textId="77777777" w:rsidR="00DA2276" w:rsidRDefault="008E598B">
      <w:pPr>
        <w:spacing w:line="276" w:lineRule="auto"/>
        <w:jc w:val="both"/>
      </w:pPr>
      <w:r>
        <w:rPr>
          <w:rFonts w:cs="Times New Roman"/>
          <w:b/>
          <w:color w:val="000000"/>
        </w:rPr>
        <w:t xml:space="preserve">Ключевые слова: </w:t>
      </w:r>
      <w:r>
        <w:rPr>
          <w:rFonts w:cs="Times New Roman"/>
          <w:color w:val="000000"/>
        </w:rPr>
        <w:t>экономическая безопасность региона, управление рисками, риск, угроза, индикаторы экономической безопасности, пороговые значения, региональная экономика, риск-менеджмент, устойчивое развитие</w:t>
      </w:r>
    </w:p>
    <w:p w14:paraId="0B83EB98" w14:textId="77777777" w:rsidR="00253D46" w:rsidRDefault="00253D46">
      <w:pPr>
        <w:spacing w:line="276" w:lineRule="auto"/>
        <w:jc w:val="center"/>
        <w:rPr>
          <w:rFonts w:cs="Times New Roman"/>
          <w:b/>
          <w:color w:val="000000"/>
        </w:rPr>
      </w:pPr>
    </w:p>
    <w:p w14:paraId="345A5AEE" w14:textId="54098018" w:rsidR="00DA2276" w:rsidRPr="00253D46" w:rsidRDefault="008E598B">
      <w:pPr>
        <w:spacing w:line="276" w:lineRule="auto"/>
        <w:jc w:val="center"/>
        <w:rPr>
          <w:lang w:val="en-US"/>
        </w:rPr>
      </w:pPr>
      <w:r w:rsidRPr="00253D46">
        <w:rPr>
          <w:rFonts w:cs="Times New Roman"/>
          <w:b/>
          <w:color w:val="000000"/>
          <w:lang w:val="en-US"/>
        </w:rPr>
        <w:t>RISK MANAGEMENT IN ENSURING THE ECONOMIC SECURITY OF A REGION</w:t>
      </w:r>
    </w:p>
    <w:p w14:paraId="3286C2AC" w14:textId="77777777" w:rsidR="006E39CF" w:rsidRDefault="006E39CF">
      <w:pPr>
        <w:spacing w:line="276" w:lineRule="auto"/>
        <w:jc w:val="center"/>
        <w:rPr>
          <w:rFonts w:cs="Times New Roman"/>
          <w:color w:val="000000"/>
          <w:lang w:val="en-US"/>
        </w:rPr>
      </w:pPr>
      <w:r w:rsidRPr="006E39CF">
        <w:rPr>
          <w:rFonts w:cs="Times New Roman"/>
          <w:color w:val="000000"/>
          <w:lang w:val="en-US"/>
        </w:rPr>
        <w:t>Kononenko Nadezhda Viktorovna</w:t>
      </w:r>
    </w:p>
    <w:p w14:paraId="28A28F1F" w14:textId="77777777" w:rsidR="006E39CF" w:rsidRDefault="006E39CF">
      <w:pPr>
        <w:spacing w:line="276" w:lineRule="auto"/>
        <w:jc w:val="center"/>
        <w:rPr>
          <w:rFonts w:cs="Times New Roman"/>
          <w:color w:val="000000"/>
          <w:lang w:val="en-US"/>
        </w:rPr>
      </w:pPr>
      <w:r w:rsidRPr="006E39CF">
        <w:rPr>
          <w:rFonts w:cs="Times New Roman"/>
          <w:color w:val="000000"/>
          <w:lang w:val="en-US"/>
        </w:rPr>
        <w:t xml:space="preserve">Head of Security Department </w:t>
      </w:r>
    </w:p>
    <w:p w14:paraId="341D21CB" w14:textId="77777777" w:rsidR="006E39CF" w:rsidRDefault="006E39CF">
      <w:pPr>
        <w:spacing w:line="276" w:lineRule="auto"/>
        <w:jc w:val="center"/>
        <w:rPr>
          <w:rFonts w:cs="Times New Roman"/>
          <w:color w:val="000000"/>
          <w:lang w:val="en-US"/>
        </w:rPr>
      </w:pPr>
      <w:r w:rsidRPr="006E39CF">
        <w:rPr>
          <w:rFonts w:cs="Times New Roman"/>
          <w:color w:val="000000"/>
          <w:lang w:val="en-US"/>
        </w:rPr>
        <w:t xml:space="preserve">Federal State Budgetary Educational Institution of Higher Education "Kherson State Pedagogical University" </w:t>
      </w:r>
    </w:p>
    <w:p w14:paraId="4D1BF4A7" w14:textId="14D88171" w:rsidR="00DA2276" w:rsidRPr="00253D46" w:rsidRDefault="006E39CF">
      <w:pPr>
        <w:spacing w:line="276" w:lineRule="auto"/>
        <w:jc w:val="center"/>
        <w:rPr>
          <w:lang w:val="en-US"/>
        </w:rPr>
      </w:pPr>
      <w:r w:rsidRPr="006E39CF">
        <w:rPr>
          <w:rFonts w:cs="Times New Roman"/>
          <w:color w:val="000000"/>
          <w:lang w:val="en-US"/>
        </w:rPr>
        <w:t xml:space="preserve">Kherson, </w:t>
      </w:r>
      <w:r w:rsidR="008E598B" w:rsidRPr="00253D46">
        <w:rPr>
          <w:rFonts w:cs="Times New Roman"/>
          <w:color w:val="000000"/>
          <w:lang w:val="en-US"/>
        </w:rPr>
        <w:t>Russia</w:t>
      </w:r>
    </w:p>
    <w:p w14:paraId="448580E9" w14:textId="73EB51D1" w:rsidR="00DA2276" w:rsidRPr="00253D46" w:rsidRDefault="008E598B">
      <w:pPr>
        <w:spacing w:line="276" w:lineRule="auto"/>
        <w:jc w:val="center"/>
        <w:rPr>
          <w:lang w:val="en-US"/>
        </w:rPr>
      </w:pPr>
      <w:r w:rsidRPr="00253D46">
        <w:rPr>
          <w:rFonts w:cs="Times New Roman"/>
          <w:color w:val="000000"/>
          <w:lang w:val="en-US"/>
        </w:rPr>
        <w:t xml:space="preserve">e-mail: </w:t>
      </w:r>
      <w:r w:rsidR="006E39CF" w:rsidRPr="006E39CF">
        <w:rPr>
          <w:rFonts w:cs="Times New Roman"/>
          <w:color w:val="000000"/>
          <w:lang w:val="en-US"/>
        </w:rPr>
        <w:t xml:space="preserve">nadezhda-kononenko@internet.ru </w:t>
      </w:r>
    </w:p>
    <w:p w14:paraId="50AF471B" w14:textId="77777777" w:rsidR="00DA2276" w:rsidRPr="00253D46" w:rsidRDefault="008E598B">
      <w:pPr>
        <w:spacing w:line="276" w:lineRule="auto"/>
        <w:jc w:val="both"/>
        <w:rPr>
          <w:lang w:val="en-US"/>
        </w:rPr>
      </w:pPr>
      <w:r w:rsidRPr="00253D46">
        <w:rPr>
          <w:rFonts w:cs="Times New Roman"/>
          <w:b/>
          <w:color w:val="000000"/>
          <w:lang w:val="en-US"/>
        </w:rPr>
        <w:t xml:space="preserve">Abstract: </w:t>
      </w:r>
      <w:r w:rsidRPr="00253D46">
        <w:rPr>
          <w:rFonts w:cs="Times New Roman"/>
          <w:color w:val="000000"/>
          <w:lang w:val="en-US"/>
        </w:rPr>
        <w:t xml:space="preserve">Strengthening economic security at the regional level has grown into a pressing governance challenge amid persistent geopolitical turbulence and deepening socio-economic asymmetry across Russian territories. This article examines the conceptual foundations of risk management as applied to ensuring the economic security of a constituent entity of the Russian Federation. We systematize scholarly interpretations of </w:t>
      </w:r>
      <w:r w:rsidRPr="00253D46">
        <w:rPr>
          <w:rFonts w:cs="Times New Roman"/>
          <w:color w:val="000000"/>
          <w:lang w:val="en-US"/>
        </w:rPr>
        <w:lastRenderedPageBreak/>
        <w:t>the categories "risk," "threat," and "regional economic security," and introduce an eight-group classification of risks spanning macroeconomic, fiscal, investment, production-technological, socio-demographic, external-economic, environmental, and institutional dimensions. Drawing on the ISO 31000:2018-based methodology and threshold-value analysis, we characterize key regional economic security indicators alongside their critical limits. A five-stage risk management mechanism is proposed, covering identification, qualitative and quantitative assessment, selection of risk treatment strategies (avoidance, mitigation, transfer, retention), and ongoing monitoring with feedback. The results indicate that embedding this mechanism into regional strategic planning documents can substantially improve the quality and timeliness of managerial responses to emerging threats. The proposed framework is applicable to regional authorities engaged in socio-economic policy and can serve as a methodological basis for further inquiry into adaptive mechanisms of territorial security management.</w:t>
      </w:r>
    </w:p>
    <w:p w14:paraId="6F47B631" w14:textId="77777777" w:rsidR="00DA2276" w:rsidRPr="00253D46" w:rsidRDefault="008E598B">
      <w:pPr>
        <w:spacing w:line="276" w:lineRule="auto"/>
        <w:jc w:val="both"/>
        <w:rPr>
          <w:lang w:val="en-US"/>
        </w:rPr>
      </w:pPr>
      <w:r w:rsidRPr="00253D46">
        <w:rPr>
          <w:rFonts w:cs="Times New Roman"/>
          <w:b/>
          <w:color w:val="000000"/>
          <w:lang w:val="en-US"/>
        </w:rPr>
        <w:t xml:space="preserve">Keywords: </w:t>
      </w:r>
      <w:r w:rsidRPr="00253D46">
        <w:rPr>
          <w:rFonts w:cs="Times New Roman"/>
          <w:color w:val="000000"/>
          <w:lang w:val="en-US"/>
        </w:rPr>
        <w:t>regional economic security, risk management, risk, threat, economic security indicators, threshold values, regional economy, sustainable development</w:t>
      </w:r>
      <w:r w:rsidRPr="00253D46">
        <w:rPr>
          <w:lang w:val="en-US"/>
        </w:rPr>
        <w:br w:type="page"/>
      </w:r>
    </w:p>
    <w:p w14:paraId="2D255868" w14:textId="77777777" w:rsidR="00DA2276" w:rsidRDefault="008E598B">
      <w:pPr>
        <w:pStyle w:val="1"/>
        <w:spacing w:before="240"/>
        <w:jc w:val="center"/>
      </w:pPr>
      <w:r>
        <w:rPr>
          <w:rFonts w:ascii="Times New Roman" w:hAnsi="Times New Roman" w:cs="Times New Roman"/>
          <w:color w:val="000000"/>
        </w:rPr>
        <w:lastRenderedPageBreak/>
        <w:t>Введение</w:t>
      </w:r>
    </w:p>
    <w:p w14:paraId="0CBD691F" w14:textId="77777777" w:rsidR="00DA2276" w:rsidRDefault="008E598B">
      <w:pPr>
        <w:ind w:firstLine="709"/>
        <w:jc w:val="both"/>
      </w:pPr>
      <w:r>
        <w:rPr>
          <w:rFonts w:cs="Times New Roman"/>
          <w:color w:val="000000"/>
        </w:rPr>
        <w:t>Геополитическая турбулентность последних лет, сопровождаемая санкционным давлением и структурными сдвигами в глобальных производственных цепочках, поставила под серьезное испытание устойчивость экономических систем субъектов Российской Федерации. Уязвимость региональных экономик значительно дифференцирована: там, где хозяйственная структура диверсифицирована, сценарий адаптации оказался значительно мягче, чем в монопрофильных образованиях. Укрепление экономической безопасности на уровне субъекта РФ из сугубо академической темы превратилось в насущную управленческую задачу.</w:t>
      </w:r>
    </w:p>
    <w:p w14:paraId="59768DD9" w14:textId="77777777" w:rsidR="00DA2276" w:rsidRDefault="008E598B">
      <w:pPr>
        <w:ind w:firstLine="709"/>
        <w:jc w:val="both"/>
      </w:pPr>
      <w:r>
        <w:rPr>
          <w:rFonts w:cs="Times New Roman"/>
          <w:color w:val="000000"/>
        </w:rPr>
        <w:t xml:space="preserve">Вместе с тем единого методического арсенала для выявления, оценки и нейтрализации рисков, угрожающих экономической безопасности конкретного региона, в отечественной науке еще не сложилось. Отдельные аспекты этой проблематики разработаны в трудах В. К. </w:t>
      </w:r>
      <w:proofErr w:type="spellStart"/>
      <w:r>
        <w:rPr>
          <w:rFonts w:cs="Times New Roman"/>
          <w:color w:val="000000"/>
        </w:rPr>
        <w:t>Сенчагова</w:t>
      </w:r>
      <w:proofErr w:type="spellEnd"/>
      <w:r>
        <w:rPr>
          <w:rFonts w:cs="Times New Roman"/>
          <w:color w:val="000000"/>
        </w:rPr>
        <w:t xml:space="preserve"> [10], уральской научной школы А. И. Татаркина и А. А. Куклина [12], в пионерских работах Л. И. Абалкина [5]. Тем не менее большинство этих концепций требует актуализации с учетом действующей Стратегии экономической безопасности Российской Федерации до 2030 года [1] и обновленного стандарта риск-менеджмента ГОСТ Р ИСО 31000-2019 [3].</w:t>
      </w:r>
    </w:p>
    <w:p w14:paraId="342C9187" w14:textId="77777777" w:rsidR="00DA2276" w:rsidRDefault="008E598B">
      <w:pPr>
        <w:ind w:firstLine="709"/>
        <w:jc w:val="both"/>
      </w:pPr>
      <w:r>
        <w:rPr>
          <w:rFonts w:cs="Times New Roman"/>
          <w:color w:val="000000"/>
        </w:rPr>
        <w:t xml:space="preserve">Цель настоящей работы - формирование комплексного механизма управления рисками, адаптированного к условиям функционирования региональной экономической системы. Для ее достижения решались следующие задачи: уточнение понятийного аппарата применительно к соотношению категорий «риск», «угроза» и «экономическая безопасность региона»; разработка классификации рисков по функциональным блокам; характеристика системы индикаторов с пороговыми значениями; формирование алгоритма управленческих воздействий по каждой группе рисков. Методологическую основу составляют </w:t>
      </w:r>
      <w:r>
        <w:rPr>
          <w:rFonts w:cs="Times New Roman"/>
          <w:color w:val="000000"/>
        </w:rPr>
        <w:lastRenderedPageBreak/>
        <w:t>системный и индикативный подходы, метод сравнительного экспертного оценивания, а также инструментарий матрицы «вероятность - ущерб».</w:t>
      </w:r>
    </w:p>
    <w:p w14:paraId="2CD7BDC3" w14:textId="77777777" w:rsidR="00DA2276" w:rsidRDefault="008E598B">
      <w:pPr>
        <w:spacing w:before="240"/>
        <w:jc w:val="center"/>
      </w:pPr>
      <w:r>
        <w:rPr>
          <w:rFonts w:cs="Times New Roman"/>
          <w:b/>
          <w:color w:val="000000"/>
        </w:rPr>
        <w:t>Экономическая безопасность региона и риски: понятийный аппарат</w:t>
      </w:r>
    </w:p>
    <w:p w14:paraId="6B97B3E2" w14:textId="77777777" w:rsidR="00DA2276" w:rsidRDefault="008E598B">
      <w:pPr>
        <w:ind w:firstLine="709"/>
        <w:jc w:val="both"/>
      </w:pPr>
      <w:r>
        <w:rPr>
          <w:rFonts w:cs="Times New Roman"/>
          <w:color w:val="000000"/>
        </w:rPr>
        <w:t>В отечественной экономической науке понятие «экономическая безопасность» получило развернутую трактовку в работах Л. И. Абалкина, предложившего рассматривать ее как совокупность условий и факторов, обеспечивающих независимость национальной экономики и способность к устойчивому росту [5]. На государственном уровне этот принцип закреплен Стратегией экономической безопасности Российской Федерации на период до 2030 года [1]: в ней регион выступает несущим звеном общегосударственной системы, а устойчивость территориальных хозяйственных комплексов признана необходимым условием национальной безопасности в целом.</w:t>
      </w:r>
    </w:p>
    <w:p w14:paraId="35DCE155" w14:textId="77777777" w:rsidR="00DA2276" w:rsidRDefault="008E598B">
      <w:pPr>
        <w:ind w:firstLine="709"/>
        <w:jc w:val="both"/>
      </w:pPr>
      <w:r>
        <w:rPr>
          <w:rFonts w:cs="Times New Roman"/>
          <w:color w:val="000000"/>
        </w:rPr>
        <w:t>Применительно к субъектам РФ понятие «экономическая безопасность региона» трактуется как состояние его экономической системы, при котором обеспечивается защищенность от внутренних и внешних угроз, сохраняется способность к самостоятельному воспроизводству и устойчивому социально-экономическому развитию. А. И. Татаркин и А. А. Куклин подчеркивают, что именно на региональном уровне формируются реальные механизмы противодействия угрозам, тогда как федеральные институты задают лишь нормативные рамки [12]. В. В. Криворотов с соавторами дополняют этот тезис, указывая, что реализация региональной экономической безопасности требует консолидации инструментов бюджетной политики, инвестиционного регулирования и социальных программ [7].</w:t>
      </w:r>
    </w:p>
    <w:p w14:paraId="75BD5A02" w14:textId="77777777" w:rsidR="00DA2276" w:rsidRDefault="008E598B">
      <w:pPr>
        <w:ind w:firstLine="709"/>
        <w:jc w:val="both"/>
      </w:pPr>
      <w:r>
        <w:rPr>
          <w:rFonts w:cs="Times New Roman"/>
          <w:color w:val="000000"/>
        </w:rPr>
        <w:t xml:space="preserve">Ключевое место в системе экономической безопасности занимает управление рисками. Согласно ГОСТ Р ИСО 31000-2019, риск </w:t>
      </w:r>
      <w:proofErr w:type="gramStart"/>
      <w:r>
        <w:rPr>
          <w:rFonts w:cs="Times New Roman"/>
          <w:color w:val="000000"/>
        </w:rPr>
        <w:t>- это</w:t>
      </w:r>
      <w:proofErr w:type="gramEnd"/>
      <w:r>
        <w:rPr>
          <w:rFonts w:cs="Times New Roman"/>
          <w:color w:val="000000"/>
        </w:rPr>
        <w:t xml:space="preserve"> влияние неопределенности на цели [3]; применительно к региональной экономике его следует понимать как вероятность наступления неблагоприятного события, способного снизить значения </w:t>
      </w:r>
      <w:r>
        <w:rPr>
          <w:rFonts w:cs="Times New Roman"/>
          <w:color w:val="000000"/>
        </w:rPr>
        <w:lastRenderedPageBreak/>
        <w:t>ключевых индикаторов ниже пороговых. В отличие от риска, угроза характеризует конкретный источник потенциального вреда с определенным направленным воздействием на объект; понятие «вызов» шире - оно включает всю совокупность факторов внешней среды, требующих адекватной реакции региональных органов власти.</w:t>
      </w:r>
    </w:p>
    <w:p w14:paraId="7C3300A6" w14:textId="77777777" w:rsidR="00DA2276" w:rsidRDefault="008E598B">
      <w:pPr>
        <w:ind w:firstLine="709"/>
        <w:jc w:val="both"/>
      </w:pPr>
      <w:r>
        <w:rPr>
          <w:rFonts w:cs="Times New Roman"/>
          <w:color w:val="000000"/>
        </w:rPr>
        <w:t xml:space="preserve">ГОСТ Р 51897-2011 разграничивает риск и опасность: опасность характеризует потенциальный вред в статике, тогда как риск - его вероятностную реализацию [4]. Это разграничение принципиально для практики риск-менеджмента: оперирование только категорией «угроза», минуя ее вероятностную составляющую, лишает систему управления возможности ранжировать приоритеты воздействия. Криворотов, Калина и </w:t>
      </w:r>
      <w:proofErr w:type="spellStart"/>
      <w:r>
        <w:rPr>
          <w:rFonts w:cs="Times New Roman"/>
          <w:color w:val="000000"/>
        </w:rPr>
        <w:t>Эриашвили</w:t>
      </w:r>
      <w:proofErr w:type="spellEnd"/>
      <w:r>
        <w:rPr>
          <w:rFonts w:cs="Times New Roman"/>
          <w:color w:val="000000"/>
        </w:rPr>
        <w:t xml:space="preserve"> [7] указывают, что совмещение </w:t>
      </w:r>
      <w:proofErr w:type="spellStart"/>
      <w:r>
        <w:rPr>
          <w:rFonts w:cs="Times New Roman"/>
          <w:color w:val="000000"/>
        </w:rPr>
        <w:t>угрозного</w:t>
      </w:r>
      <w:proofErr w:type="spellEnd"/>
      <w:r>
        <w:rPr>
          <w:rFonts w:cs="Times New Roman"/>
          <w:color w:val="000000"/>
        </w:rPr>
        <w:t xml:space="preserve"> и вероятностного подходов дает реалистичный риск-профиль территории.</w:t>
      </w:r>
    </w:p>
    <w:p w14:paraId="4BACDF4F" w14:textId="77777777" w:rsidR="00DA2276" w:rsidRDefault="008E598B">
      <w:pPr>
        <w:ind w:firstLine="709"/>
        <w:jc w:val="both"/>
      </w:pPr>
      <w:r>
        <w:rPr>
          <w:rFonts w:cs="Times New Roman"/>
          <w:color w:val="000000"/>
        </w:rPr>
        <w:t>Управление рисками экономической безопасности региона - непрерывный процесс идентификации, оценки и выработки мер воздействия на угрозы с целью поддержания ключевых параметров территориальной хозяйственной системы в безопасных пределах. Этот процесс должен быть встроен в систему стратегического планирования субъекта РФ и синхронизирован с инструментарием федеральных программных документов [1, 2], прежде всего со Стратегией экономической безопасности и Федеральным законом «О безопасности».</w:t>
      </w:r>
    </w:p>
    <w:p w14:paraId="41FFAF0B" w14:textId="77777777" w:rsidR="00DA2276" w:rsidRDefault="008E598B">
      <w:pPr>
        <w:spacing w:before="240"/>
        <w:jc w:val="center"/>
      </w:pPr>
      <w:r>
        <w:rPr>
          <w:rFonts w:cs="Times New Roman"/>
          <w:b/>
          <w:color w:val="000000"/>
        </w:rPr>
        <w:t>Классификация рисков экономической безопасности региона</w:t>
      </w:r>
    </w:p>
    <w:p w14:paraId="08EB0E91" w14:textId="77777777" w:rsidR="00DA2276" w:rsidRDefault="008E598B">
      <w:pPr>
        <w:ind w:firstLine="709"/>
        <w:jc w:val="both"/>
      </w:pPr>
      <w:r>
        <w:rPr>
          <w:rFonts w:cs="Times New Roman"/>
          <w:color w:val="000000"/>
        </w:rPr>
        <w:t xml:space="preserve">Разнородность источников угроз предопределяет необходимость структурированной классификации рисков. Авторская группировка, выработанная на основе синтеза нормативных документов [1, 2] и научных исследований [10, 12, 8, 11], включает восемь функциональных блоков. Перечень включает как традиционно выделяемые категории угроз - финансово-бюджетные, производственные, социальные, - так и специфические для нынешнего этапа: </w:t>
      </w:r>
      <w:r>
        <w:rPr>
          <w:rFonts w:cs="Times New Roman"/>
          <w:color w:val="000000"/>
        </w:rPr>
        <w:lastRenderedPageBreak/>
        <w:t>внешнеэкономические (санкционные) и институционально-управленческие. Классификация приведена в табл. 1.</w:t>
      </w:r>
    </w:p>
    <w:p w14:paraId="3C9A94C9" w14:textId="77777777" w:rsidR="00DA2276" w:rsidRDefault="008E598B">
      <w:pPr>
        <w:spacing w:before="60" w:after="60"/>
        <w:jc w:val="center"/>
      </w:pPr>
      <w:r>
        <w:rPr>
          <w:rFonts w:cs="Times New Roman"/>
          <w:color w:val="000000"/>
          <w:sz w:val="24"/>
        </w:rPr>
        <w:t>Таблица 1 – Классификация рисков экономической безопасности региона</w:t>
      </w:r>
    </w:p>
    <w:tbl>
      <w:tblPr>
        <w:tblW w:w="9972" w:type="dxa"/>
        <w:tblInd w:w="103" w:type="dxa"/>
        <w:tblLayout w:type="fixed"/>
        <w:tblLook w:val="04A0" w:firstRow="1" w:lastRow="0" w:firstColumn="1" w:lastColumn="0" w:noHBand="0" w:noVBand="1"/>
      </w:tblPr>
      <w:tblGrid>
        <w:gridCol w:w="3324"/>
        <w:gridCol w:w="3324"/>
        <w:gridCol w:w="3324"/>
      </w:tblGrid>
      <w:tr w:rsidR="00DA2276" w14:paraId="4580A79B" w14:textId="77777777">
        <w:tc>
          <w:tcPr>
            <w:tcW w:w="3324" w:type="dxa"/>
            <w:tcBorders>
              <w:top w:val="single" w:sz="4" w:space="0" w:color="000000"/>
              <w:left w:val="single" w:sz="4" w:space="0" w:color="000000"/>
              <w:bottom w:val="single" w:sz="4" w:space="0" w:color="000000"/>
              <w:right w:val="single" w:sz="4" w:space="0" w:color="000000"/>
            </w:tcBorders>
          </w:tcPr>
          <w:p w14:paraId="114AC122" w14:textId="77777777" w:rsidR="00DA2276" w:rsidRDefault="008E598B">
            <w:pPr>
              <w:jc w:val="center"/>
            </w:pPr>
            <w:r>
              <w:rPr>
                <w:rFonts w:cs="Times New Roman"/>
                <w:b/>
                <w:color w:val="000000"/>
                <w:sz w:val="24"/>
              </w:rPr>
              <w:t>Группа рисков</w:t>
            </w:r>
          </w:p>
        </w:tc>
        <w:tc>
          <w:tcPr>
            <w:tcW w:w="3324" w:type="dxa"/>
            <w:tcBorders>
              <w:top w:val="single" w:sz="4" w:space="0" w:color="000000"/>
              <w:left w:val="single" w:sz="4" w:space="0" w:color="000000"/>
              <w:bottom w:val="single" w:sz="4" w:space="0" w:color="000000"/>
              <w:right w:val="single" w:sz="4" w:space="0" w:color="000000"/>
            </w:tcBorders>
          </w:tcPr>
          <w:p w14:paraId="7BDFEE38" w14:textId="77777777" w:rsidR="00DA2276" w:rsidRDefault="008E598B">
            <w:pPr>
              <w:jc w:val="center"/>
            </w:pPr>
            <w:r>
              <w:rPr>
                <w:rFonts w:cs="Times New Roman"/>
                <w:b/>
                <w:color w:val="000000"/>
                <w:sz w:val="24"/>
              </w:rPr>
              <w:t>Характеристика</w:t>
            </w:r>
          </w:p>
        </w:tc>
        <w:tc>
          <w:tcPr>
            <w:tcW w:w="3324" w:type="dxa"/>
            <w:tcBorders>
              <w:top w:val="single" w:sz="4" w:space="0" w:color="000000"/>
              <w:left w:val="single" w:sz="4" w:space="0" w:color="000000"/>
              <w:bottom w:val="single" w:sz="4" w:space="0" w:color="000000"/>
              <w:right w:val="single" w:sz="4" w:space="0" w:color="000000"/>
            </w:tcBorders>
          </w:tcPr>
          <w:p w14:paraId="58C2D560" w14:textId="77777777" w:rsidR="00DA2276" w:rsidRDefault="008E598B">
            <w:pPr>
              <w:jc w:val="center"/>
            </w:pPr>
            <w:r>
              <w:rPr>
                <w:rFonts w:cs="Times New Roman"/>
                <w:b/>
                <w:color w:val="000000"/>
                <w:sz w:val="24"/>
              </w:rPr>
              <w:t>Примеры проявления</w:t>
            </w:r>
          </w:p>
        </w:tc>
      </w:tr>
      <w:tr w:rsidR="00DA2276" w14:paraId="431B9EC1" w14:textId="77777777">
        <w:tc>
          <w:tcPr>
            <w:tcW w:w="3324" w:type="dxa"/>
            <w:tcBorders>
              <w:top w:val="single" w:sz="4" w:space="0" w:color="000000"/>
              <w:left w:val="single" w:sz="4" w:space="0" w:color="000000"/>
              <w:bottom w:val="single" w:sz="4" w:space="0" w:color="000000"/>
              <w:right w:val="single" w:sz="4" w:space="0" w:color="000000"/>
            </w:tcBorders>
          </w:tcPr>
          <w:p w14:paraId="73AAB614" w14:textId="77777777" w:rsidR="00DA2276" w:rsidRDefault="008E598B">
            <w:pPr>
              <w:jc w:val="both"/>
            </w:pPr>
            <w:r>
              <w:rPr>
                <w:rFonts w:cs="Times New Roman"/>
                <w:color w:val="000000"/>
                <w:sz w:val="24"/>
              </w:rPr>
              <w:t>Макроэкономические</w:t>
            </w:r>
          </w:p>
        </w:tc>
        <w:tc>
          <w:tcPr>
            <w:tcW w:w="3324" w:type="dxa"/>
            <w:tcBorders>
              <w:top w:val="single" w:sz="4" w:space="0" w:color="000000"/>
              <w:left w:val="single" w:sz="4" w:space="0" w:color="000000"/>
              <w:bottom w:val="single" w:sz="4" w:space="0" w:color="000000"/>
              <w:right w:val="single" w:sz="4" w:space="0" w:color="000000"/>
            </w:tcBorders>
          </w:tcPr>
          <w:p w14:paraId="7718161F" w14:textId="77777777" w:rsidR="00DA2276" w:rsidRDefault="008E598B">
            <w:pPr>
              <w:jc w:val="both"/>
            </w:pPr>
            <w:r>
              <w:rPr>
                <w:rFonts w:cs="Times New Roman"/>
                <w:color w:val="000000"/>
                <w:sz w:val="24"/>
              </w:rPr>
              <w:t>Колебания ВРП, инфляции, курсов валют, процентных ставок</w:t>
            </w:r>
          </w:p>
        </w:tc>
        <w:tc>
          <w:tcPr>
            <w:tcW w:w="3324" w:type="dxa"/>
            <w:tcBorders>
              <w:top w:val="single" w:sz="4" w:space="0" w:color="000000"/>
              <w:left w:val="single" w:sz="4" w:space="0" w:color="000000"/>
              <w:bottom w:val="single" w:sz="4" w:space="0" w:color="000000"/>
              <w:right w:val="single" w:sz="4" w:space="0" w:color="000000"/>
            </w:tcBorders>
          </w:tcPr>
          <w:p w14:paraId="7215A303" w14:textId="77777777" w:rsidR="00DA2276" w:rsidRDefault="008E598B">
            <w:pPr>
              <w:jc w:val="both"/>
            </w:pPr>
            <w:r>
              <w:rPr>
                <w:rFonts w:cs="Times New Roman"/>
                <w:color w:val="000000"/>
                <w:sz w:val="24"/>
              </w:rPr>
              <w:t>Спад промышленного производства; рост цен на сырье и комплектующие</w:t>
            </w:r>
          </w:p>
        </w:tc>
      </w:tr>
      <w:tr w:rsidR="00DA2276" w14:paraId="08D9444F" w14:textId="77777777">
        <w:tc>
          <w:tcPr>
            <w:tcW w:w="3324" w:type="dxa"/>
            <w:tcBorders>
              <w:top w:val="single" w:sz="4" w:space="0" w:color="000000"/>
              <w:left w:val="single" w:sz="4" w:space="0" w:color="000000"/>
              <w:bottom w:val="single" w:sz="4" w:space="0" w:color="000000"/>
              <w:right w:val="single" w:sz="4" w:space="0" w:color="000000"/>
            </w:tcBorders>
          </w:tcPr>
          <w:p w14:paraId="15A624E9" w14:textId="77777777" w:rsidR="00DA2276" w:rsidRDefault="008E598B">
            <w:pPr>
              <w:jc w:val="both"/>
            </w:pPr>
            <w:r>
              <w:rPr>
                <w:rFonts w:cs="Times New Roman"/>
                <w:color w:val="000000"/>
                <w:sz w:val="24"/>
              </w:rPr>
              <w:t>Финансово-бюджетные</w:t>
            </w:r>
          </w:p>
        </w:tc>
        <w:tc>
          <w:tcPr>
            <w:tcW w:w="3324" w:type="dxa"/>
            <w:tcBorders>
              <w:top w:val="single" w:sz="4" w:space="0" w:color="000000"/>
              <w:left w:val="single" w:sz="4" w:space="0" w:color="000000"/>
              <w:bottom w:val="single" w:sz="4" w:space="0" w:color="000000"/>
              <w:right w:val="single" w:sz="4" w:space="0" w:color="000000"/>
            </w:tcBorders>
          </w:tcPr>
          <w:p w14:paraId="21E2CD79" w14:textId="77777777" w:rsidR="00DA2276" w:rsidRDefault="008E598B">
            <w:pPr>
              <w:jc w:val="both"/>
            </w:pPr>
            <w:r>
              <w:rPr>
                <w:rFonts w:cs="Times New Roman"/>
                <w:color w:val="000000"/>
                <w:sz w:val="24"/>
              </w:rPr>
              <w:t>Дефицит бюджета, долговая нагрузка региона, снижение налоговых поступлений</w:t>
            </w:r>
          </w:p>
        </w:tc>
        <w:tc>
          <w:tcPr>
            <w:tcW w:w="3324" w:type="dxa"/>
            <w:tcBorders>
              <w:top w:val="single" w:sz="4" w:space="0" w:color="000000"/>
              <w:left w:val="single" w:sz="4" w:space="0" w:color="000000"/>
              <w:bottom w:val="single" w:sz="4" w:space="0" w:color="000000"/>
              <w:right w:val="single" w:sz="4" w:space="0" w:color="000000"/>
            </w:tcBorders>
          </w:tcPr>
          <w:p w14:paraId="14F151BC" w14:textId="77777777" w:rsidR="00DA2276" w:rsidRDefault="008E598B">
            <w:pPr>
              <w:jc w:val="both"/>
            </w:pPr>
            <w:r>
              <w:rPr>
                <w:rFonts w:cs="Times New Roman"/>
                <w:color w:val="000000"/>
                <w:sz w:val="24"/>
              </w:rPr>
              <w:t>Задержки выплат по госконтрактам; рост долговой нагрузки субъекта</w:t>
            </w:r>
          </w:p>
        </w:tc>
      </w:tr>
      <w:tr w:rsidR="00DA2276" w14:paraId="666095A6" w14:textId="77777777">
        <w:tc>
          <w:tcPr>
            <w:tcW w:w="3324" w:type="dxa"/>
            <w:tcBorders>
              <w:top w:val="single" w:sz="4" w:space="0" w:color="000000"/>
              <w:left w:val="single" w:sz="4" w:space="0" w:color="000000"/>
              <w:bottom w:val="single" w:sz="4" w:space="0" w:color="000000"/>
              <w:right w:val="single" w:sz="4" w:space="0" w:color="000000"/>
            </w:tcBorders>
          </w:tcPr>
          <w:p w14:paraId="121E4838" w14:textId="77777777" w:rsidR="00DA2276" w:rsidRDefault="008E598B">
            <w:pPr>
              <w:jc w:val="both"/>
            </w:pPr>
            <w:r>
              <w:rPr>
                <w:rFonts w:cs="Times New Roman"/>
                <w:color w:val="000000"/>
                <w:sz w:val="24"/>
              </w:rPr>
              <w:t>Инвестиционные</w:t>
            </w:r>
          </w:p>
        </w:tc>
        <w:tc>
          <w:tcPr>
            <w:tcW w:w="3324" w:type="dxa"/>
            <w:tcBorders>
              <w:top w:val="single" w:sz="4" w:space="0" w:color="000000"/>
              <w:left w:val="single" w:sz="4" w:space="0" w:color="000000"/>
              <w:bottom w:val="single" w:sz="4" w:space="0" w:color="000000"/>
              <w:right w:val="single" w:sz="4" w:space="0" w:color="000000"/>
            </w:tcBorders>
          </w:tcPr>
          <w:p w14:paraId="2EC544B1" w14:textId="77777777" w:rsidR="00DA2276" w:rsidRDefault="008E598B">
            <w:pPr>
              <w:jc w:val="both"/>
            </w:pPr>
            <w:r>
              <w:rPr>
                <w:rFonts w:cs="Times New Roman"/>
                <w:color w:val="000000"/>
                <w:sz w:val="24"/>
              </w:rPr>
              <w:t>Снижение притока инвестиций, отток капитала, ухудшение инвестклимата</w:t>
            </w:r>
          </w:p>
        </w:tc>
        <w:tc>
          <w:tcPr>
            <w:tcW w:w="3324" w:type="dxa"/>
            <w:tcBorders>
              <w:top w:val="single" w:sz="4" w:space="0" w:color="000000"/>
              <w:left w:val="single" w:sz="4" w:space="0" w:color="000000"/>
              <w:bottom w:val="single" w:sz="4" w:space="0" w:color="000000"/>
              <w:right w:val="single" w:sz="4" w:space="0" w:color="000000"/>
            </w:tcBorders>
          </w:tcPr>
          <w:p w14:paraId="60E9048E" w14:textId="77777777" w:rsidR="00DA2276" w:rsidRDefault="008E598B">
            <w:pPr>
              <w:jc w:val="both"/>
            </w:pPr>
            <w:r>
              <w:rPr>
                <w:rFonts w:cs="Times New Roman"/>
                <w:color w:val="000000"/>
                <w:sz w:val="24"/>
              </w:rPr>
              <w:t>Закрытие производств; уход иностранных инвесторов</w:t>
            </w:r>
          </w:p>
        </w:tc>
      </w:tr>
      <w:tr w:rsidR="00DA2276" w14:paraId="414FADDE" w14:textId="77777777">
        <w:tc>
          <w:tcPr>
            <w:tcW w:w="3324" w:type="dxa"/>
            <w:tcBorders>
              <w:top w:val="single" w:sz="4" w:space="0" w:color="000000"/>
              <w:left w:val="single" w:sz="4" w:space="0" w:color="000000"/>
              <w:bottom w:val="single" w:sz="4" w:space="0" w:color="000000"/>
              <w:right w:val="single" w:sz="4" w:space="0" w:color="000000"/>
            </w:tcBorders>
          </w:tcPr>
          <w:p w14:paraId="2259E7E2" w14:textId="77777777" w:rsidR="00DA2276" w:rsidRDefault="008E598B">
            <w:pPr>
              <w:jc w:val="both"/>
            </w:pPr>
            <w:r>
              <w:rPr>
                <w:rFonts w:cs="Times New Roman"/>
                <w:color w:val="000000"/>
                <w:sz w:val="24"/>
              </w:rPr>
              <w:t>Производственно-технологические</w:t>
            </w:r>
          </w:p>
        </w:tc>
        <w:tc>
          <w:tcPr>
            <w:tcW w:w="3324" w:type="dxa"/>
            <w:tcBorders>
              <w:top w:val="single" w:sz="4" w:space="0" w:color="000000"/>
              <w:left w:val="single" w:sz="4" w:space="0" w:color="000000"/>
              <w:bottom w:val="single" w:sz="4" w:space="0" w:color="000000"/>
              <w:right w:val="single" w:sz="4" w:space="0" w:color="000000"/>
            </w:tcBorders>
          </w:tcPr>
          <w:p w14:paraId="6E219620" w14:textId="77777777" w:rsidR="00DA2276" w:rsidRDefault="008E598B">
            <w:pPr>
              <w:jc w:val="both"/>
            </w:pPr>
            <w:r>
              <w:rPr>
                <w:rFonts w:cs="Times New Roman"/>
                <w:color w:val="000000"/>
                <w:sz w:val="24"/>
              </w:rPr>
              <w:t>Физический и моральный износ основных фондов, зависимость от импортного оборудования</w:t>
            </w:r>
          </w:p>
        </w:tc>
        <w:tc>
          <w:tcPr>
            <w:tcW w:w="3324" w:type="dxa"/>
            <w:tcBorders>
              <w:top w:val="single" w:sz="4" w:space="0" w:color="000000"/>
              <w:left w:val="single" w:sz="4" w:space="0" w:color="000000"/>
              <w:bottom w:val="single" w:sz="4" w:space="0" w:color="000000"/>
              <w:right w:val="single" w:sz="4" w:space="0" w:color="000000"/>
            </w:tcBorders>
          </w:tcPr>
          <w:p w14:paraId="19893F57" w14:textId="77777777" w:rsidR="00DA2276" w:rsidRDefault="008E598B">
            <w:pPr>
              <w:jc w:val="both"/>
            </w:pPr>
            <w:r>
              <w:rPr>
                <w:rFonts w:cs="Times New Roman"/>
                <w:color w:val="000000"/>
                <w:sz w:val="24"/>
              </w:rPr>
              <w:t>Аварии на предприятиях; нарушение производственных цепочек</w:t>
            </w:r>
          </w:p>
        </w:tc>
      </w:tr>
      <w:tr w:rsidR="00DA2276" w14:paraId="44793EBD" w14:textId="77777777">
        <w:tc>
          <w:tcPr>
            <w:tcW w:w="3324" w:type="dxa"/>
            <w:tcBorders>
              <w:top w:val="single" w:sz="4" w:space="0" w:color="000000"/>
              <w:left w:val="single" w:sz="4" w:space="0" w:color="000000"/>
              <w:bottom w:val="single" w:sz="4" w:space="0" w:color="000000"/>
              <w:right w:val="single" w:sz="4" w:space="0" w:color="000000"/>
            </w:tcBorders>
          </w:tcPr>
          <w:p w14:paraId="28CDFF82" w14:textId="77777777" w:rsidR="00DA2276" w:rsidRDefault="008E598B">
            <w:pPr>
              <w:jc w:val="both"/>
            </w:pPr>
            <w:r>
              <w:rPr>
                <w:rFonts w:cs="Times New Roman"/>
                <w:color w:val="000000"/>
                <w:sz w:val="24"/>
              </w:rPr>
              <w:t>Социально-демографические</w:t>
            </w:r>
          </w:p>
        </w:tc>
        <w:tc>
          <w:tcPr>
            <w:tcW w:w="3324" w:type="dxa"/>
            <w:tcBorders>
              <w:top w:val="single" w:sz="4" w:space="0" w:color="000000"/>
              <w:left w:val="single" w:sz="4" w:space="0" w:color="000000"/>
              <w:bottom w:val="single" w:sz="4" w:space="0" w:color="000000"/>
              <w:right w:val="single" w:sz="4" w:space="0" w:color="000000"/>
            </w:tcBorders>
          </w:tcPr>
          <w:p w14:paraId="01CFDA40" w14:textId="77777777" w:rsidR="00DA2276" w:rsidRDefault="008E598B">
            <w:pPr>
              <w:jc w:val="both"/>
            </w:pPr>
            <w:r>
              <w:rPr>
                <w:rFonts w:cs="Times New Roman"/>
                <w:color w:val="000000"/>
                <w:sz w:val="24"/>
              </w:rPr>
              <w:t>Безработица, бедность, демографическая убыль, трудовая миграция</w:t>
            </w:r>
          </w:p>
        </w:tc>
        <w:tc>
          <w:tcPr>
            <w:tcW w:w="3324" w:type="dxa"/>
            <w:tcBorders>
              <w:top w:val="single" w:sz="4" w:space="0" w:color="000000"/>
              <w:left w:val="single" w:sz="4" w:space="0" w:color="000000"/>
              <w:bottom w:val="single" w:sz="4" w:space="0" w:color="000000"/>
              <w:right w:val="single" w:sz="4" w:space="0" w:color="000000"/>
            </w:tcBorders>
          </w:tcPr>
          <w:p w14:paraId="1DF46952" w14:textId="77777777" w:rsidR="00DA2276" w:rsidRDefault="008E598B">
            <w:pPr>
              <w:jc w:val="both"/>
            </w:pPr>
            <w:r>
              <w:rPr>
                <w:rFonts w:cs="Times New Roman"/>
                <w:color w:val="000000"/>
                <w:sz w:val="24"/>
              </w:rPr>
              <w:t>Рост доли населения ниже прожиточного минимума; отток молодежи</w:t>
            </w:r>
          </w:p>
        </w:tc>
      </w:tr>
      <w:tr w:rsidR="00DA2276" w14:paraId="59C682AE" w14:textId="77777777">
        <w:tc>
          <w:tcPr>
            <w:tcW w:w="3324" w:type="dxa"/>
            <w:tcBorders>
              <w:top w:val="single" w:sz="4" w:space="0" w:color="000000"/>
              <w:left w:val="single" w:sz="4" w:space="0" w:color="000000"/>
              <w:bottom w:val="single" w:sz="4" w:space="0" w:color="000000"/>
              <w:right w:val="single" w:sz="4" w:space="0" w:color="000000"/>
            </w:tcBorders>
          </w:tcPr>
          <w:p w14:paraId="7A68C23B" w14:textId="77777777" w:rsidR="00DA2276" w:rsidRDefault="008E598B">
            <w:pPr>
              <w:jc w:val="both"/>
            </w:pPr>
            <w:r>
              <w:rPr>
                <w:rFonts w:cs="Times New Roman"/>
                <w:color w:val="000000"/>
                <w:sz w:val="24"/>
              </w:rPr>
              <w:t>Внешнеэкономические (санкционные)</w:t>
            </w:r>
          </w:p>
        </w:tc>
        <w:tc>
          <w:tcPr>
            <w:tcW w:w="3324" w:type="dxa"/>
            <w:tcBorders>
              <w:top w:val="single" w:sz="4" w:space="0" w:color="000000"/>
              <w:left w:val="single" w:sz="4" w:space="0" w:color="000000"/>
              <w:bottom w:val="single" w:sz="4" w:space="0" w:color="000000"/>
              <w:right w:val="single" w:sz="4" w:space="0" w:color="000000"/>
            </w:tcBorders>
          </w:tcPr>
          <w:p w14:paraId="1FF04F04" w14:textId="77777777" w:rsidR="00DA2276" w:rsidRDefault="008E598B">
            <w:pPr>
              <w:jc w:val="both"/>
            </w:pPr>
            <w:r>
              <w:rPr>
                <w:rFonts w:cs="Times New Roman"/>
                <w:color w:val="000000"/>
                <w:sz w:val="24"/>
              </w:rPr>
              <w:t>Ограничение экспорта/импорта, отключение от мировых финансовых систем</w:t>
            </w:r>
          </w:p>
        </w:tc>
        <w:tc>
          <w:tcPr>
            <w:tcW w:w="3324" w:type="dxa"/>
            <w:tcBorders>
              <w:top w:val="single" w:sz="4" w:space="0" w:color="000000"/>
              <w:left w:val="single" w:sz="4" w:space="0" w:color="000000"/>
              <w:bottom w:val="single" w:sz="4" w:space="0" w:color="000000"/>
              <w:right w:val="single" w:sz="4" w:space="0" w:color="000000"/>
            </w:tcBorders>
          </w:tcPr>
          <w:p w14:paraId="61141069" w14:textId="77777777" w:rsidR="00DA2276" w:rsidRDefault="008E598B">
            <w:pPr>
              <w:jc w:val="both"/>
            </w:pPr>
            <w:r>
              <w:rPr>
                <w:rFonts w:cs="Times New Roman"/>
                <w:color w:val="000000"/>
                <w:sz w:val="24"/>
              </w:rPr>
              <w:t>Срыв поставок критических компонентов; запреты на вывоз продукции</w:t>
            </w:r>
          </w:p>
        </w:tc>
      </w:tr>
      <w:tr w:rsidR="00DA2276" w14:paraId="06782BC3" w14:textId="77777777">
        <w:tc>
          <w:tcPr>
            <w:tcW w:w="3324" w:type="dxa"/>
            <w:tcBorders>
              <w:top w:val="single" w:sz="4" w:space="0" w:color="000000"/>
              <w:left w:val="single" w:sz="4" w:space="0" w:color="000000"/>
              <w:bottom w:val="single" w:sz="4" w:space="0" w:color="000000"/>
              <w:right w:val="single" w:sz="4" w:space="0" w:color="000000"/>
            </w:tcBorders>
          </w:tcPr>
          <w:p w14:paraId="2F9034B0" w14:textId="77777777" w:rsidR="00DA2276" w:rsidRDefault="008E598B">
            <w:pPr>
              <w:jc w:val="both"/>
            </w:pPr>
            <w:r>
              <w:rPr>
                <w:rFonts w:cs="Times New Roman"/>
                <w:color w:val="000000"/>
                <w:sz w:val="24"/>
              </w:rPr>
              <w:t>Экологические</w:t>
            </w:r>
          </w:p>
        </w:tc>
        <w:tc>
          <w:tcPr>
            <w:tcW w:w="3324" w:type="dxa"/>
            <w:tcBorders>
              <w:top w:val="single" w:sz="4" w:space="0" w:color="000000"/>
              <w:left w:val="single" w:sz="4" w:space="0" w:color="000000"/>
              <w:bottom w:val="single" w:sz="4" w:space="0" w:color="000000"/>
              <w:right w:val="single" w:sz="4" w:space="0" w:color="000000"/>
            </w:tcBorders>
          </w:tcPr>
          <w:p w14:paraId="4A4217DB" w14:textId="77777777" w:rsidR="00DA2276" w:rsidRDefault="008E598B">
            <w:pPr>
              <w:jc w:val="both"/>
            </w:pPr>
            <w:r>
              <w:rPr>
                <w:rFonts w:cs="Times New Roman"/>
                <w:color w:val="000000"/>
                <w:sz w:val="24"/>
              </w:rPr>
              <w:t>Загрязнение среды, природные катастрофы, ресурсное истощение</w:t>
            </w:r>
          </w:p>
        </w:tc>
        <w:tc>
          <w:tcPr>
            <w:tcW w:w="3324" w:type="dxa"/>
            <w:tcBorders>
              <w:top w:val="single" w:sz="4" w:space="0" w:color="000000"/>
              <w:left w:val="single" w:sz="4" w:space="0" w:color="000000"/>
              <w:bottom w:val="single" w:sz="4" w:space="0" w:color="000000"/>
              <w:right w:val="single" w:sz="4" w:space="0" w:color="000000"/>
            </w:tcBorders>
          </w:tcPr>
          <w:p w14:paraId="649A172E" w14:textId="77777777" w:rsidR="00DA2276" w:rsidRDefault="008E598B">
            <w:pPr>
              <w:jc w:val="both"/>
            </w:pPr>
            <w:r>
              <w:rPr>
                <w:rFonts w:cs="Times New Roman"/>
                <w:color w:val="000000"/>
                <w:sz w:val="24"/>
              </w:rPr>
              <w:t>Вынужденные затраты на ликвидацию аварий; ограничение водопользования</w:t>
            </w:r>
          </w:p>
        </w:tc>
      </w:tr>
      <w:tr w:rsidR="00DA2276" w14:paraId="3575547A" w14:textId="77777777">
        <w:tc>
          <w:tcPr>
            <w:tcW w:w="3324" w:type="dxa"/>
            <w:tcBorders>
              <w:top w:val="single" w:sz="4" w:space="0" w:color="000000"/>
              <w:left w:val="single" w:sz="4" w:space="0" w:color="000000"/>
              <w:bottom w:val="single" w:sz="4" w:space="0" w:color="000000"/>
              <w:right w:val="single" w:sz="4" w:space="0" w:color="000000"/>
            </w:tcBorders>
          </w:tcPr>
          <w:p w14:paraId="4B338878" w14:textId="77777777" w:rsidR="00DA2276" w:rsidRDefault="008E598B">
            <w:pPr>
              <w:jc w:val="both"/>
            </w:pPr>
            <w:r>
              <w:rPr>
                <w:rFonts w:cs="Times New Roman"/>
                <w:color w:val="000000"/>
                <w:sz w:val="24"/>
              </w:rPr>
              <w:t>Институционально-управленческие</w:t>
            </w:r>
          </w:p>
        </w:tc>
        <w:tc>
          <w:tcPr>
            <w:tcW w:w="3324" w:type="dxa"/>
            <w:tcBorders>
              <w:top w:val="single" w:sz="4" w:space="0" w:color="000000"/>
              <w:left w:val="single" w:sz="4" w:space="0" w:color="000000"/>
              <w:bottom w:val="single" w:sz="4" w:space="0" w:color="000000"/>
              <w:right w:val="single" w:sz="4" w:space="0" w:color="000000"/>
            </w:tcBorders>
          </w:tcPr>
          <w:p w14:paraId="13073904" w14:textId="77777777" w:rsidR="00DA2276" w:rsidRDefault="008E598B">
            <w:pPr>
              <w:jc w:val="both"/>
            </w:pPr>
            <w:r>
              <w:rPr>
                <w:rFonts w:cs="Times New Roman"/>
                <w:color w:val="000000"/>
                <w:sz w:val="24"/>
              </w:rPr>
              <w:t>Низкое качество госуправления, коррупция, правовая нестабильность</w:t>
            </w:r>
          </w:p>
        </w:tc>
        <w:tc>
          <w:tcPr>
            <w:tcW w:w="3324" w:type="dxa"/>
            <w:tcBorders>
              <w:top w:val="single" w:sz="4" w:space="0" w:color="000000"/>
              <w:left w:val="single" w:sz="4" w:space="0" w:color="000000"/>
              <w:bottom w:val="single" w:sz="4" w:space="0" w:color="000000"/>
              <w:right w:val="single" w:sz="4" w:space="0" w:color="000000"/>
            </w:tcBorders>
          </w:tcPr>
          <w:p w14:paraId="172304A1" w14:textId="77777777" w:rsidR="00DA2276" w:rsidRDefault="008E598B">
            <w:pPr>
              <w:jc w:val="both"/>
            </w:pPr>
            <w:r>
              <w:rPr>
                <w:rFonts w:cs="Times New Roman"/>
                <w:color w:val="000000"/>
                <w:sz w:val="24"/>
              </w:rPr>
              <w:t>Неэффективное расходование бюджетных средств; административные барьеры</w:t>
            </w:r>
          </w:p>
        </w:tc>
      </w:tr>
    </w:tbl>
    <w:p w14:paraId="7136AACD" w14:textId="77777777" w:rsidR="00DA2276" w:rsidRDefault="008E598B">
      <w:pPr>
        <w:jc w:val="center"/>
      </w:pPr>
      <w:r>
        <w:rPr>
          <w:rFonts w:cs="Times New Roman"/>
          <w:color w:val="000000"/>
          <w:sz w:val="24"/>
        </w:rPr>
        <w:t>Источник: составлено автором.</w:t>
      </w:r>
    </w:p>
    <w:p w14:paraId="59437C8C" w14:textId="77777777" w:rsidR="00DA2276" w:rsidRDefault="008E598B">
      <w:pPr>
        <w:ind w:firstLine="709"/>
        <w:jc w:val="both"/>
      </w:pPr>
      <w:r>
        <w:rPr>
          <w:rFonts w:cs="Times New Roman"/>
          <w:color w:val="000000"/>
        </w:rPr>
        <w:lastRenderedPageBreak/>
        <w:t>Графически соотношение групп рисков по их условному весу в суммарной уязвимости региональной экономической системы представлено на рис. 1. Веса получены методом экспертного ранжирования с учетом актуальных тенденций угроз. Наибольший вес присвоен макроэкономической группе, поскольку она определяет общий контекст функционирования всех остальных блоков.</w:t>
      </w:r>
    </w:p>
    <w:p w14:paraId="0D0DED4A" w14:textId="77777777" w:rsidR="00DA2276" w:rsidRDefault="008E598B">
      <w:pPr>
        <w:spacing w:before="120"/>
        <w:jc w:val="center"/>
      </w:pPr>
      <w:r>
        <w:rPr>
          <w:noProof/>
          <w:lang w:eastAsia="ru-RU"/>
        </w:rPr>
        <w:drawing>
          <wp:inline distT="0" distB="0" distL="0" distR="0" wp14:anchorId="22B13B5C" wp14:editId="043F0693">
            <wp:extent cx="5039995" cy="2745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5039995" cy="2745105"/>
                    </a:xfrm>
                    <a:prstGeom prst="rect">
                      <a:avLst/>
                    </a:prstGeom>
                    <a:noFill/>
                  </pic:spPr>
                </pic:pic>
              </a:graphicData>
            </a:graphic>
          </wp:inline>
        </w:drawing>
      </w:r>
    </w:p>
    <w:p w14:paraId="6A54EEF8" w14:textId="77777777" w:rsidR="00DA2276" w:rsidRDefault="008E598B">
      <w:pPr>
        <w:spacing w:before="60" w:after="60"/>
        <w:jc w:val="center"/>
      </w:pPr>
      <w:r>
        <w:rPr>
          <w:rFonts w:cs="Times New Roman"/>
          <w:color w:val="000000"/>
          <w:sz w:val="24"/>
        </w:rPr>
        <w:t>Рисунок 1 – Структура рисков экономической безопасности региона по группам</w:t>
      </w:r>
    </w:p>
    <w:p w14:paraId="57609E0C" w14:textId="77777777" w:rsidR="00DA2276" w:rsidRDefault="008E598B">
      <w:pPr>
        <w:ind w:firstLine="709"/>
        <w:jc w:val="both"/>
      </w:pPr>
      <w:r>
        <w:rPr>
          <w:rFonts w:cs="Times New Roman"/>
          <w:color w:val="000000"/>
        </w:rPr>
        <w:t>Доминирование того или иного блока рисков зависит от отраслевой специализации и уровня бюджетной обеспеченности конкретного субъекта РФ. В регионах с высокой долей добывающих отраслей особо значимы макроэкономические и внешнеэкономические риски. В дотационных территориях на первый план выходят финансово-бюджетные и социально-демографические угрозы, обусловленные ограниченной собственной доходной базой. Для промышленных центров критичны производственно-технологические риски, связанные со степенью износа основных фондов и зависимостью от импортного оборудования [11, 8].</w:t>
      </w:r>
    </w:p>
    <w:p w14:paraId="309C192A" w14:textId="77777777" w:rsidR="00DA2276" w:rsidRDefault="008E598B">
      <w:pPr>
        <w:spacing w:before="240"/>
        <w:jc w:val="center"/>
      </w:pPr>
      <w:r>
        <w:rPr>
          <w:rFonts w:cs="Times New Roman"/>
          <w:b/>
          <w:color w:val="000000"/>
        </w:rPr>
        <w:t>Методы и индикаторы оценки рисков экономической безопасности региона</w:t>
      </w:r>
    </w:p>
    <w:p w14:paraId="6F7E1BD3" w14:textId="77777777" w:rsidR="00DA2276" w:rsidRDefault="008E598B">
      <w:pPr>
        <w:ind w:firstLine="709"/>
        <w:jc w:val="both"/>
      </w:pPr>
      <w:r>
        <w:rPr>
          <w:rFonts w:cs="Times New Roman"/>
          <w:color w:val="000000"/>
        </w:rPr>
        <w:t xml:space="preserve">Количественная оценка рисков экономической безопасности региона строится на нескольких взаимодополняющих методах. Их выбор определяется </w:t>
      </w:r>
      <w:r>
        <w:rPr>
          <w:rFonts w:cs="Times New Roman"/>
          <w:color w:val="000000"/>
        </w:rPr>
        <w:lastRenderedPageBreak/>
        <w:t>доступностью статистической информации, горизонтом прогнозирования и требуемым уровнем детализации управленческого решения.</w:t>
      </w:r>
    </w:p>
    <w:p w14:paraId="53FE5700" w14:textId="77777777" w:rsidR="00DA2276" w:rsidRDefault="008E598B">
      <w:pPr>
        <w:ind w:firstLine="709"/>
        <w:jc w:val="both"/>
      </w:pPr>
      <w:r>
        <w:rPr>
          <w:rFonts w:cs="Times New Roman"/>
          <w:color w:val="000000"/>
        </w:rPr>
        <w:t xml:space="preserve">Индикативный анализ предполагает отбор ключевых показателей - индикаторов - и сравнение их фактических значений с пороговыми. Система пороговых значений, разработанная В. К. </w:t>
      </w:r>
      <w:proofErr w:type="spellStart"/>
      <w:r>
        <w:rPr>
          <w:rFonts w:cs="Times New Roman"/>
          <w:color w:val="000000"/>
        </w:rPr>
        <w:t>Сенчаговым</w:t>
      </w:r>
      <w:proofErr w:type="spellEnd"/>
      <w:r>
        <w:rPr>
          <w:rFonts w:cs="Times New Roman"/>
          <w:color w:val="000000"/>
        </w:rPr>
        <w:t xml:space="preserve"> [10] и скорректированная применительно к региональному уровню рядом позднейших работ [8, 11], содержит показатели финансово-бюджетной, производственной, социальной и инновационной сфер. Важнейшие из них с соответствующими пороговыми значениями приведены в табл. 2.</w:t>
      </w:r>
    </w:p>
    <w:p w14:paraId="5F5C83D3" w14:textId="77777777" w:rsidR="00DA2276" w:rsidRDefault="008E598B">
      <w:pPr>
        <w:ind w:firstLine="709"/>
        <w:jc w:val="both"/>
      </w:pPr>
      <w:r>
        <w:t>Зоны отклонений принято разделять на три диапазона. Первый - безопасный: фактическое значение не выходит за 10-15% от порогового; ситуация плановая, достаточно текущего мониторинга. При отклонении от 15 до 30% фиксируется критическая зона - необходимо усилить контроль и подготовить превентивные меры. Свыше 30% - опасная зона, при которой регион переходит в режим антикризисного управления. Конкретные числа варьируются в зависимости от типа индикатора. Уровень безработицы в 8% уже отражает напряжённость на рынке труда, тогда как дефицит регионального бюджета переходит в критическую зону при 15% расходной части. Пороговые значения из федеральной методологии [6, 10] корректируются с учётом отраслевой структуры, бюджетной обеспеченности и демографического профиля конкретного субъекта.</w:t>
      </w:r>
    </w:p>
    <w:p w14:paraId="7B3A13E9" w14:textId="77777777" w:rsidR="00DA2276" w:rsidRDefault="008E598B">
      <w:pPr>
        <w:spacing w:before="60" w:after="60"/>
        <w:jc w:val="center"/>
      </w:pPr>
      <w:r>
        <w:rPr>
          <w:rFonts w:cs="Times New Roman"/>
          <w:color w:val="000000"/>
          <w:sz w:val="24"/>
        </w:rPr>
        <w:t>Таблица 2 – Индикаторы экономической безопасности региона и их пороговые значения</w:t>
      </w:r>
    </w:p>
    <w:tbl>
      <w:tblPr>
        <w:tblW w:w="9972" w:type="dxa"/>
        <w:tblInd w:w="103" w:type="dxa"/>
        <w:tblLayout w:type="fixed"/>
        <w:tblLook w:val="04A0" w:firstRow="1" w:lastRow="0" w:firstColumn="1" w:lastColumn="0" w:noHBand="0" w:noVBand="1"/>
      </w:tblPr>
      <w:tblGrid>
        <w:gridCol w:w="2493"/>
        <w:gridCol w:w="2493"/>
        <w:gridCol w:w="2493"/>
        <w:gridCol w:w="2493"/>
      </w:tblGrid>
      <w:tr w:rsidR="00DA2276" w14:paraId="3C44FA3A" w14:textId="77777777">
        <w:tc>
          <w:tcPr>
            <w:tcW w:w="2493" w:type="dxa"/>
            <w:tcBorders>
              <w:top w:val="single" w:sz="4" w:space="0" w:color="000000"/>
              <w:left w:val="single" w:sz="4" w:space="0" w:color="000000"/>
              <w:bottom w:val="single" w:sz="4" w:space="0" w:color="000000"/>
              <w:right w:val="single" w:sz="4" w:space="0" w:color="000000"/>
            </w:tcBorders>
          </w:tcPr>
          <w:p w14:paraId="7E1ABED0" w14:textId="77777777" w:rsidR="00DA2276" w:rsidRDefault="008E598B">
            <w:pPr>
              <w:jc w:val="center"/>
            </w:pPr>
            <w:r>
              <w:rPr>
                <w:rFonts w:cs="Times New Roman"/>
                <w:b/>
                <w:color w:val="000000"/>
                <w:sz w:val="24"/>
              </w:rPr>
              <w:t>Индикатор</w:t>
            </w:r>
          </w:p>
        </w:tc>
        <w:tc>
          <w:tcPr>
            <w:tcW w:w="2493" w:type="dxa"/>
            <w:tcBorders>
              <w:top w:val="single" w:sz="4" w:space="0" w:color="000000"/>
              <w:left w:val="single" w:sz="4" w:space="0" w:color="000000"/>
              <w:bottom w:val="single" w:sz="4" w:space="0" w:color="000000"/>
              <w:right w:val="single" w:sz="4" w:space="0" w:color="000000"/>
            </w:tcBorders>
          </w:tcPr>
          <w:p w14:paraId="6317246D" w14:textId="77777777" w:rsidR="00DA2276" w:rsidRDefault="008E598B">
            <w:pPr>
              <w:jc w:val="center"/>
            </w:pPr>
            <w:r>
              <w:rPr>
                <w:rFonts w:cs="Times New Roman"/>
                <w:b/>
                <w:color w:val="000000"/>
                <w:sz w:val="24"/>
              </w:rPr>
              <w:t>Единица измерения</w:t>
            </w:r>
          </w:p>
        </w:tc>
        <w:tc>
          <w:tcPr>
            <w:tcW w:w="2493" w:type="dxa"/>
            <w:tcBorders>
              <w:top w:val="single" w:sz="4" w:space="0" w:color="000000"/>
              <w:left w:val="single" w:sz="4" w:space="0" w:color="000000"/>
              <w:bottom w:val="single" w:sz="4" w:space="0" w:color="000000"/>
              <w:right w:val="single" w:sz="4" w:space="0" w:color="000000"/>
            </w:tcBorders>
          </w:tcPr>
          <w:p w14:paraId="09DD54F9" w14:textId="77777777" w:rsidR="00DA2276" w:rsidRDefault="008E598B">
            <w:pPr>
              <w:jc w:val="center"/>
            </w:pPr>
            <w:r>
              <w:rPr>
                <w:rFonts w:cs="Times New Roman"/>
                <w:b/>
                <w:color w:val="000000"/>
                <w:sz w:val="24"/>
              </w:rPr>
              <w:t>Пороговое значение</w:t>
            </w:r>
          </w:p>
        </w:tc>
        <w:tc>
          <w:tcPr>
            <w:tcW w:w="2493" w:type="dxa"/>
            <w:tcBorders>
              <w:top w:val="single" w:sz="4" w:space="0" w:color="000000"/>
              <w:left w:val="single" w:sz="4" w:space="0" w:color="000000"/>
              <w:bottom w:val="single" w:sz="4" w:space="0" w:color="000000"/>
              <w:right w:val="single" w:sz="4" w:space="0" w:color="000000"/>
            </w:tcBorders>
          </w:tcPr>
          <w:p w14:paraId="0B11931A" w14:textId="77777777" w:rsidR="00DA2276" w:rsidRDefault="008E598B">
            <w:pPr>
              <w:jc w:val="center"/>
            </w:pPr>
            <w:r>
              <w:rPr>
                <w:rFonts w:cs="Times New Roman"/>
                <w:b/>
                <w:color w:val="000000"/>
                <w:sz w:val="24"/>
              </w:rPr>
              <w:t>Источник</w:t>
            </w:r>
          </w:p>
        </w:tc>
      </w:tr>
      <w:tr w:rsidR="00DA2276" w14:paraId="353A55AD" w14:textId="77777777">
        <w:tc>
          <w:tcPr>
            <w:tcW w:w="2493" w:type="dxa"/>
            <w:tcBorders>
              <w:top w:val="single" w:sz="4" w:space="0" w:color="000000"/>
              <w:left w:val="single" w:sz="4" w:space="0" w:color="000000"/>
              <w:bottom w:val="single" w:sz="4" w:space="0" w:color="000000"/>
              <w:right w:val="single" w:sz="4" w:space="0" w:color="000000"/>
            </w:tcBorders>
          </w:tcPr>
          <w:p w14:paraId="3D405C3C" w14:textId="77777777" w:rsidR="00DA2276" w:rsidRDefault="008E598B">
            <w:pPr>
              <w:jc w:val="center"/>
            </w:pPr>
            <w:r>
              <w:rPr>
                <w:rFonts w:cs="Times New Roman"/>
                <w:color w:val="000000"/>
                <w:sz w:val="24"/>
              </w:rPr>
              <w:t>Уровень зарегистрированной безработицы</w:t>
            </w:r>
          </w:p>
        </w:tc>
        <w:tc>
          <w:tcPr>
            <w:tcW w:w="2493" w:type="dxa"/>
            <w:tcBorders>
              <w:top w:val="single" w:sz="4" w:space="0" w:color="000000"/>
              <w:left w:val="single" w:sz="4" w:space="0" w:color="000000"/>
              <w:bottom w:val="single" w:sz="4" w:space="0" w:color="000000"/>
              <w:right w:val="single" w:sz="4" w:space="0" w:color="000000"/>
            </w:tcBorders>
          </w:tcPr>
          <w:p w14:paraId="691F497A" w14:textId="77777777" w:rsidR="00DA2276" w:rsidRDefault="008E598B">
            <w:pPr>
              <w:jc w:val="center"/>
            </w:pPr>
            <w:r>
              <w:rPr>
                <w:rFonts w:cs="Times New Roman"/>
                <w:color w:val="000000"/>
                <w:sz w:val="24"/>
              </w:rPr>
              <w:t>%</w:t>
            </w:r>
          </w:p>
        </w:tc>
        <w:tc>
          <w:tcPr>
            <w:tcW w:w="2493" w:type="dxa"/>
            <w:tcBorders>
              <w:top w:val="single" w:sz="4" w:space="0" w:color="000000"/>
              <w:left w:val="single" w:sz="4" w:space="0" w:color="000000"/>
              <w:bottom w:val="single" w:sz="4" w:space="0" w:color="000000"/>
              <w:right w:val="single" w:sz="4" w:space="0" w:color="000000"/>
            </w:tcBorders>
          </w:tcPr>
          <w:p w14:paraId="7052CBCC" w14:textId="77777777" w:rsidR="00DA2276" w:rsidRDefault="008E598B">
            <w:pPr>
              <w:jc w:val="center"/>
            </w:pPr>
            <w:r>
              <w:rPr>
                <w:rFonts w:cs="Times New Roman"/>
                <w:color w:val="000000"/>
                <w:sz w:val="24"/>
              </w:rPr>
              <w:t>не более 8</w:t>
            </w:r>
          </w:p>
        </w:tc>
        <w:tc>
          <w:tcPr>
            <w:tcW w:w="2493" w:type="dxa"/>
            <w:tcBorders>
              <w:top w:val="single" w:sz="4" w:space="0" w:color="000000"/>
              <w:left w:val="single" w:sz="4" w:space="0" w:color="000000"/>
              <w:bottom w:val="single" w:sz="4" w:space="0" w:color="000000"/>
              <w:right w:val="single" w:sz="4" w:space="0" w:color="000000"/>
            </w:tcBorders>
          </w:tcPr>
          <w:p w14:paraId="33614254" w14:textId="77777777" w:rsidR="00DA2276" w:rsidRDefault="008E598B">
            <w:pPr>
              <w:jc w:val="center"/>
            </w:pPr>
            <w:r>
              <w:rPr>
                <w:rFonts w:cs="Times New Roman"/>
                <w:color w:val="000000"/>
                <w:sz w:val="24"/>
              </w:rPr>
              <w:t>[10]</w:t>
            </w:r>
          </w:p>
        </w:tc>
      </w:tr>
      <w:tr w:rsidR="00DA2276" w14:paraId="61251D12" w14:textId="77777777">
        <w:tc>
          <w:tcPr>
            <w:tcW w:w="2493" w:type="dxa"/>
            <w:tcBorders>
              <w:top w:val="single" w:sz="4" w:space="0" w:color="000000"/>
              <w:left w:val="single" w:sz="4" w:space="0" w:color="000000"/>
              <w:bottom w:val="single" w:sz="4" w:space="0" w:color="000000"/>
              <w:right w:val="single" w:sz="4" w:space="0" w:color="000000"/>
            </w:tcBorders>
          </w:tcPr>
          <w:p w14:paraId="19F59A6D" w14:textId="77777777" w:rsidR="00DA2276" w:rsidRDefault="008E598B">
            <w:pPr>
              <w:jc w:val="center"/>
            </w:pPr>
            <w:r>
              <w:rPr>
                <w:rFonts w:cs="Times New Roman"/>
                <w:color w:val="000000"/>
                <w:sz w:val="24"/>
              </w:rPr>
              <w:t>Доля инвестиций в основной капитал в ВРП</w:t>
            </w:r>
          </w:p>
        </w:tc>
        <w:tc>
          <w:tcPr>
            <w:tcW w:w="2493" w:type="dxa"/>
            <w:tcBorders>
              <w:top w:val="single" w:sz="4" w:space="0" w:color="000000"/>
              <w:left w:val="single" w:sz="4" w:space="0" w:color="000000"/>
              <w:bottom w:val="single" w:sz="4" w:space="0" w:color="000000"/>
              <w:right w:val="single" w:sz="4" w:space="0" w:color="000000"/>
            </w:tcBorders>
          </w:tcPr>
          <w:p w14:paraId="7E32137F" w14:textId="77777777" w:rsidR="00DA2276" w:rsidRDefault="008E598B">
            <w:pPr>
              <w:jc w:val="center"/>
            </w:pPr>
            <w:r>
              <w:rPr>
                <w:rFonts w:cs="Times New Roman"/>
                <w:color w:val="000000"/>
                <w:sz w:val="24"/>
              </w:rPr>
              <w:t>%</w:t>
            </w:r>
          </w:p>
        </w:tc>
        <w:tc>
          <w:tcPr>
            <w:tcW w:w="2493" w:type="dxa"/>
            <w:tcBorders>
              <w:top w:val="single" w:sz="4" w:space="0" w:color="000000"/>
              <w:left w:val="single" w:sz="4" w:space="0" w:color="000000"/>
              <w:bottom w:val="single" w:sz="4" w:space="0" w:color="000000"/>
              <w:right w:val="single" w:sz="4" w:space="0" w:color="000000"/>
            </w:tcBorders>
          </w:tcPr>
          <w:p w14:paraId="6222EF6A" w14:textId="77777777" w:rsidR="00DA2276" w:rsidRDefault="008E598B">
            <w:pPr>
              <w:jc w:val="center"/>
            </w:pPr>
            <w:r>
              <w:rPr>
                <w:rFonts w:cs="Times New Roman"/>
                <w:color w:val="000000"/>
                <w:sz w:val="24"/>
              </w:rPr>
              <w:t>не менее 25</w:t>
            </w:r>
          </w:p>
        </w:tc>
        <w:tc>
          <w:tcPr>
            <w:tcW w:w="2493" w:type="dxa"/>
            <w:tcBorders>
              <w:top w:val="single" w:sz="4" w:space="0" w:color="000000"/>
              <w:left w:val="single" w:sz="4" w:space="0" w:color="000000"/>
              <w:bottom w:val="single" w:sz="4" w:space="0" w:color="000000"/>
              <w:right w:val="single" w:sz="4" w:space="0" w:color="000000"/>
            </w:tcBorders>
          </w:tcPr>
          <w:p w14:paraId="71478E25" w14:textId="77777777" w:rsidR="00DA2276" w:rsidRDefault="008E598B">
            <w:pPr>
              <w:jc w:val="center"/>
            </w:pPr>
            <w:r>
              <w:rPr>
                <w:rFonts w:cs="Times New Roman"/>
                <w:color w:val="000000"/>
                <w:sz w:val="24"/>
              </w:rPr>
              <w:t>[10]</w:t>
            </w:r>
          </w:p>
        </w:tc>
      </w:tr>
      <w:tr w:rsidR="00DA2276" w14:paraId="217B0435" w14:textId="77777777">
        <w:tc>
          <w:tcPr>
            <w:tcW w:w="2493" w:type="dxa"/>
            <w:tcBorders>
              <w:top w:val="single" w:sz="4" w:space="0" w:color="000000"/>
              <w:left w:val="single" w:sz="4" w:space="0" w:color="000000"/>
              <w:bottom w:val="single" w:sz="4" w:space="0" w:color="000000"/>
              <w:right w:val="single" w:sz="4" w:space="0" w:color="000000"/>
            </w:tcBorders>
          </w:tcPr>
          <w:p w14:paraId="67D930A6" w14:textId="77777777" w:rsidR="00DA2276" w:rsidRDefault="008E598B">
            <w:pPr>
              <w:jc w:val="center"/>
            </w:pPr>
            <w:r>
              <w:rPr>
                <w:rFonts w:cs="Times New Roman"/>
                <w:color w:val="000000"/>
                <w:sz w:val="24"/>
              </w:rPr>
              <w:lastRenderedPageBreak/>
              <w:t>Степень износа основных производственных фондов</w:t>
            </w:r>
          </w:p>
        </w:tc>
        <w:tc>
          <w:tcPr>
            <w:tcW w:w="2493" w:type="dxa"/>
            <w:tcBorders>
              <w:top w:val="single" w:sz="4" w:space="0" w:color="000000"/>
              <w:left w:val="single" w:sz="4" w:space="0" w:color="000000"/>
              <w:bottom w:val="single" w:sz="4" w:space="0" w:color="000000"/>
              <w:right w:val="single" w:sz="4" w:space="0" w:color="000000"/>
            </w:tcBorders>
          </w:tcPr>
          <w:p w14:paraId="122C4CD7" w14:textId="77777777" w:rsidR="00DA2276" w:rsidRDefault="008E598B">
            <w:pPr>
              <w:jc w:val="center"/>
            </w:pPr>
            <w:r>
              <w:rPr>
                <w:rFonts w:cs="Times New Roman"/>
                <w:color w:val="000000"/>
                <w:sz w:val="24"/>
              </w:rPr>
              <w:t>%</w:t>
            </w:r>
          </w:p>
        </w:tc>
        <w:tc>
          <w:tcPr>
            <w:tcW w:w="2493" w:type="dxa"/>
            <w:tcBorders>
              <w:top w:val="single" w:sz="4" w:space="0" w:color="000000"/>
              <w:left w:val="single" w:sz="4" w:space="0" w:color="000000"/>
              <w:bottom w:val="single" w:sz="4" w:space="0" w:color="000000"/>
              <w:right w:val="single" w:sz="4" w:space="0" w:color="000000"/>
            </w:tcBorders>
          </w:tcPr>
          <w:p w14:paraId="488C833C" w14:textId="77777777" w:rsidR="00DA2276" w:rsidRDefault="008E598B">
            <w:pPr>
              <w:jc w:val="center"/>
            </w:pPr>
            <w:r>
              <w:rPr>
                <w:rFonts w:cs="Times New Roman"/>
                <w:color w:val="000000"/>
                <w:sz w:val="24"/>
              </w:rPr>
              <w:t>не более 50</w:t>
            </w:r>
          </w:p>
        </w:tc>
        <w:tc>
          <w:tcPr>
            <w:tcW w:w="2493" w:type="dxa"/>
            <w:tcBorders>
              <w:top w:val="single" w:sz="4" w:space="0" w:color="000000"/>
              <w:left w:val="single" w:sz="4" w:space="0" w:color="000000"/>
              <w:bottom w:val="single" w:sz="4" w:space="0" w:color="000000"/>
              <w:right w:val="single" w:sz="4" w:space="0" w:color="000000"/>
            </w:tcBorders>
          </w:tcPr>
          <w:p w14:paraId="5193784D" w14:textId="77777777" w:rsidR="00DA2276" w:rsidRDefault="008E598B">
            <w:pPr>
              <w:jc w:val="center"/>
            </w:pPr>
            <w:r>
              <w:rPr>
                <w:rFonts w:cs="Times New Roman"/>
                <w:color w:val="000000"/>
                <w:sz w:val="24"/>
              </w:rPr>
              <w:t>[10]</w:t>
            </w:r>
          </w:p>
        </w:tc>
      </w:tr>
      <w:tr w:rsidR="00DA2276" w14:paraId="51411A16" w14:textId="77777777">
        <w:tc>
          <w:tcPr>
            <w:tcW w:w="2493" w:type="dxa"/>
            <w:tcBorders>
              <w:top w:val="single" w:sz="4" w:space="0" w:color="000000"/>
              <w:left w:val="single" w:sz="4" w:space="0" w:color="000000"/>
              <w:bottom w:val="single" w:sz="4" w:space="0" w:color="000000"/>
              <w:right w:val="single" w:sz="4" w:space="0" w:color="000000"/>
            </w:tcBorders>
          </w:tcPr>
          <w:p w14:paraId="075D1DC1" w14:textId="77777777" w:rsidR="00DA2276" w:rsidRDefault="008E598B">
            <w:pPr>
              <w:jc w:val="center"/>
            </w:pPr>
            <w:r>
              <w:rPr>
                <w:rFonts w:cs="Times New Roman"/>
                <w:color w:val="000000"/>
                <w:sz w:val="24"/>
              </w:rPr>
              <w:t>Дефицит регионального бюджета к доходам</w:t>
            </w:r>
          </w:p>
        </w:tc>
        <w:tc>
          <w:tcPr>
            <w:tcW w:w="2493" w:type="dxa"/>
            <w:tcBorders>
              <w:top w:val="single" w:sz="4" w:space="0" w:color="000000"/>
              <w:left w:val="single" w:sz="4" w:space="0" w:color="000000"/>
              <w:bottom w:val="single" w:sz="4" w:space="0" w:color="000000"/>
              <w:right w:val="single" w:sz="4" w:space="0" w:color="000000"/>
            </w:tcBorders>
          </w:tcPr>
          <w:p w14:paraId="1A4B26F1" w14:textId="77777777" w:rsidR="00DA2276" w:rsidRDefault="008E598B">
            <w:pPr>
              <w:jc w:val="center"/>
            </w:pPr>
            <w:r>
              <w:rPr>
                <w:rFonts w:cs="Times New Roman"/>
                <w:color w:val="000000"/>
                <w:sz w:val="24"/>
              </w:rPr>
              <w:t>%</w:t>
            </w:r>
          </w:p>
        </w:tc>
        <w:tc>
          <w:tcPr>
            <w:tcW w:w="2493" w:type="dxa"/>
            <w:tcBorders>
              <w:top w:val="single" w:sz="4" w:space="0" w:color="000000"/>
              <w:left w:val="single" w:sz="4" w:space="0" w:color="000000"/>
              <w:bottom w:val="single" w:sz="4" w:space="0" w:color="000000"/>
              <w:right w:val="single" w:sz="4" w:space="0" w:color="000000"/>
            </w:tcBorders>
          </w:tcPr>
          <w:p w14:paraId="5021BD5F" w14:textId="77777777" w:rsidR="00DA2276" w:rsidRDefault="008E598B">
            <w:pPr>
              <w:jc w:val="center"/>
            </w:pPr>
            <w:r>
              <w:rPr>
                <w:rFonts w:cs="Times New Roman"/>
                <w:color w:val="000000"/>
                <w:sz w:val="24"/>
              </w:rPr>
              <w:t>не более 15</w:t>
            </w:r>
          </w:p>
        </w:tc>
        <w:tc>
          <w:tcPr>
            <w:tcW w:w="2493" w:type="dxa"/>
            <w:tcBorders>
              <w:top w:val="single" w:sz="4" w:space="0" w:color="000000"/>
              <w:left w:val="single" w:sz="4" w:space="0" w:color="000000"/>
              <w:bottom w:val="single" w:sz="4" w:space="0" w:color="000000"/>
              <w:right w:val="single" w:sz="4" w:space="0" w:color="000000"/>
            </w:tcBorders>
          </w:tcPr>
          <w:p w14:paraId="396ACCD7" w14:textId="77777777" w:rsidR="00DA2276" w:rsidRDefault="008E598B">
            <w:pPr>
              <w:jc w:val="center"/>
            </w:pPr>
            <w:r>
              <w:rPr>
                <w:rFonts w:cs="Times New Roman"/>
                <w:color w:val="000000"/>
                <w:sz w:val="24"/>
              </w:rPr>
              <w:t>[1]</w:t>
            </w:r>
          </w:p>
        </w:tc>
      </w:tr>
      <w:tr w:rsidR="00DA2276" w14:paraId="2F11F3D7" w14:textId="77777777">
        <w:tc>
          <w:tcPr>
            <w:tcW w:w="2493" w:type="dxa"/>
            <w:tcBorders>
              <w:top w:val="single" w:sz="4" w:space="0" w:color="000000"/>
              <w:left w:val="single" w:sz="4" w:space="0" w:color="000000"/>
              <w:bottom w:val="single" w:sz="4" w:space="0" w:color="000000"/>
              <w:right w:val="single" w:sz="4" w:space="0" w:color="000000"/>
            </w:tcBorders>
          </w:tcPr>
          <w:p w14:paraId="4992B0DB" w14:textId="77777777" w:rsidR="00DA2276" w:rsidRDefault="008E598B">
            <w:pPr>
              <w:jc w:val="center"/>
            </w:pPr>
            <w:r>
              <w:rPr>
                <w:rFonts w:cs="Times New Roman"/>
                <w:color w:val="000000"/>
                <w:sz w:val="24"/>
              </w:rPr>
              <w:t>Коэффициент фондов (дифференциация доходов)</w:t>
            </w:r>
          </w:p>
        </w:tc>
        <w:tc>
          <w:tcPr>
            <w:tcW w:w="2493" w:type="dxa"/>
            <w:tcBorders>
              <w:top w:val="single" w:sz="4" w:space="0" w:color="000000"/>
              <w:left w:val="single" w:sz="4" w:space="0" w:color="000000"/>
              <w:bottom w:val="single" w:sz="4" w:space="0" w:color="000000"/>
              <w:right w:val="single" w:sz="4" w:space="0" w:color="000000"/>
            </w:tcBorders>
          </w:tcPr>
          <w:p w14:paraId="1B97ACDC" w14:textId="77777777" w:rsidR="00DA2276" w:rsidRDefault="008E598B">
            <w:pPr>
              <w:jc w:val="center"/>
            </w:pPr>
            <w:r>
              <w:rPr>
                <w:rFonts w:cs="Times New Roman"/>
                <w:color w:val="000000"/>
                <w:sz w:val="24"/>
              </w:rPr>
              <w:t>разы</w:t>
            </w:r>
          </w:p>
        </w:tc>
        <w:tc>
          <w:tcPr>
            <w:tcW w:w="2493" w:type="dxa"/>
            <w:tcBorders>
              <w:top w:val="single" w:sz="4" w:space="0" w:color="000000"/>
              <w:left w:val="single" w:sz="4" w:space="0" w:color="000000"/>
              <w:bottom w:val="single" w:sz="4" w:space="0" w:color="000000"/>
              <w:right w:val="single" w:sz="4" w:space="0" w:color="000000"/>
            </w:tcBorders>
          </w:tcPr>
          <w:p w14:paraId="24CF2B98" w14:textId="77777777" w:rsidR="00DA2276" w:rsidRDefault="008E598B">
            <w:pPr>
              <w:jc w:val="center"/>
            </w:pPr>
            <w:r>
              <w:rPr>
                <w:rFonts w:cs="Times New Roman"/>
                <w:color w:val="000000"/>
                <w:sz w:val="24"/>
              </w:rPr>
              <w:t>не более 8</w:t>
            </w:r>
          </w:p>
        </w:tc>
        <w:tc>
          <w:tcPr>
            <w:tcW w:w="2493" w:type="dxa"/>
            <w:tcBorders>
              <w:top w:val="single" w:sz="4" w:space="0" w:color="000000"/>
              <w:left w:val="single" w:sz="4" w:space="0" w:color="000000"/>
              <w:bottom w:val="single" w:sz="4" w:space="0" w:color="000000"/>
              <w:right w:val="single" w:sz="4" w:space="0" w:color="000000"/>
            </w:tcBorders>
          </w:tcPr>
          <w:p w14:paraId="3AC83E7C" w14:textId="77777777" w:rsidR="00DA2276" w:rsidRDefault="008E598B">
            <w:pPr>
              <w:jc w:val="center"/>
            </w:pPr>
            <w:r>
              <w:rPr>
                <w:rFonts w:cs="Times New Roman"/>
                <w:color w:val="000000"/>
                <w:sz w:val="24"/>
              </w:rPr>
              <w:t>[10]</w:t>
            </w:r>
          </w:p>
        </w:tc>
      </w:tr>
      <w:tr w:rsidR="00DA2276" w14:paraId="4084B678" w14:textId="77777777">
        <w:tc>
          <w:tcPr>
            <w:tcW w:w="2493" w:type="dxa"/>
            <w:tcBorders>
              <w:top w:val="single" w:sz="4" w:space="0" w:color="000000"/>
              <w:left w:val="single" w:sz="4" w:space="0" w:color="000000"/>
              <w:bottom w:val="single" w:sz="4" w:space="0" w:color="000000"/>
              <w:right w:val="single" w:sz="4" w:space="0" w:color="000000"/>
            </w:tcBorders>
          </w:tcPr>
          <w:p w14:paraId="5EC43BF2" w14:textId="77777777" w:rsidR="00DA2276" w:rsidRDefault="008E598B">
            <w:pPr>
              <w:jc w:val="center"/>
            </w:pPr>
            <w:r>
              <w:rPr>
                <w:rFonts w:cs="Times New Roman"/>
                <w:color w:val="000000"/>
                <w:sz w:val="24"/>
              </w:rPr>
              <w:t>Доля населения ниже прожиточного минимума</w:t>
            </w:r>
          </w:p>
        </w:tc>
        <w:tc>
          <w:tcPr>
            <w:tcW w:w="2493" w:type="dxa"/>
            <w:tcBorders>
              <w:top w:val="single" w:sz="4" w:space="0" w:color="000000"/>
              <w:left w:val="single" w:sz="4" w:space="0" w:color="000000"/>
              <w:bottom w:val="single" w:sz="4" w:space="0" w:color="000000"/>
              <w:right w:val="single" w:sz="4" w:space="0" w:color="000000"/>
            </w:tcBorders>
          </w:tcPr>
          <w:p w14:paraId="293C9FA3" w14:textId="77777777" w:rsidR="00DA2276" w:rsidRDefault="008E598B">
            <w:pPr>
              <w:jc w:val="center"/>
            </w:pPr>
            <w:r>
              <w:rPr>
                <w:rFonts w:cs="Times New Roman"/>
                <w:color w:val="000000"/>
                <w:sz w:val="24"/>
              </w:rPr>
              <w:t>%</w:t>
            </w:r>
          </w:p>
        </w:tc>
        <w:tc>
          <w:tcPr>
            <w:tcW w:w="2493" w:type="dxa"/>
            <w:tcBorders>
              <w:top w:val="single" w:sz="4" w:space="0" w:color="000000"/>
              <w:left w:val="single" w:sz="4" w:space="0" w:color="000000"/>
              <w:bottom w:val="single" w:sz="4" w:space="0" w:color="000000"/>
              <w:right w:val="single" w:sz="4" w:space="0" w:color="000000"/>
            </w:tcBorders>
          </w:tcPr>
          <w:p w14:paraId="15C4F933" w14:textId="77777777" w:rsidR="00DA2276" w:rsidRDefault="008E598B">
            <w:pPr>
              <w:jc w:val="center"/>
            </w:pPr>
            <w:r>
              <w:rPr>
                <w:rFonts w:cs="Times New Roman"/>
                <w:color w:val="000000"/>
                <w:sz w:val="24"/>
              </w:rPr>
              <w:t>не более 7</w:t>
            </w:r>
          </w:p>
        </w:tc>
        <w:tc>
          <w:tcPr>
            <w:tcW w:w="2493" w:type="dxa"/>
            <w:tcBorders>
              <w:top w:val="single" w:sz="4" w:space="0" w:color="000000"/>
              <w:left w:val="single" w:sz="4" w:space="0" w:color="000000"/>
              <w:bottom w:val="single" w:sz="4" w:space="0" w:color="000000"/>
              <w:right w:val="single" w:sz="4" w:space="0" w:color="000000"/>
            </w:tcBorders>
          </w:tcPr>
          <w:p w14:paraId="4098C9DB" w14:textId="77777777" w:rsidR="00DA2276" w:rsidRDefault="008E598B">
            <w:pPr>
              <w:jc w:val="center"/>
            </w:pPr>
            <w:r>
              <w:rPr>
                <w:rFonts w:cs="Times New Roman"/>
                <w:color w:val="000000"/>
                <w:sz w:val="24"/>
              </w:rPr>
              <w:t>[1, 10]</w:t>
            </w:r>
          </w:p>
        </w:tc>
      </w:tr>
      <w:tr w:rsidR="00DA2276" w14:paraId="3D7036CD" w14:textId="77777777">
        <w:tc>
          <w:tcPr>
            <w:tcW w:w="2493" w:type="dxa"/>
            <w:tcBorders>
              <w:top w:val="single" w:sz="4" w:space="0" w:color="000000"/>
              <w:left w:val="single" w:sz="4" w:space="0" w:color="000000"/>
              <w:bottom w:val="single" w:sz="4" w:space="0" w:color="000000"/>
              <w:right w:val="single" w:sz="4" w:space="0" w:color="000000"/>
            </w:tcBorders>
          </w:tcPr>
          <w:p w14:paraId="3E58E040" w14:textId="77777777" w:rsidR="00DA2276" w:rsidRDefault="008E598B">
            <w:pPr>
              <w:jc w:val="center"/>
            </w:pPr>
            <w:r>
              <w:rPr>
                <w:rFonts w:cs="Times New Roman"/>
                <w:color w:val="000000"/>
                <w:sz w:val="24"/>
              </w:rPr>
              <w:t>Доля инновационной продукции в ВРП</w:t>
            </w:r>
          </w:p>
        </w:tc>
        <w:tc>
          <w:tcPr>
            <w:tcW w:w="2493" w:type="dxa"/>
            <w:tcBorders>
              <w:top w:val="single" w:sz="4" w:space="0" w:color="000000"/>
              <w:left w:val="single" w:sz="4" w:space="0" w:color="000000"/>
              <w:bottom w:val="single" w:sz="4" w:space="0" w:color="000000"/>
              <w:right w:val="single" w:sz="4" w:space="0" w:color="000000"/>
            </w:tcBorders>
          </w:tcPr>
          <w:p w14:paraId="729FDC1A" w14:textId="77777777" w:rsidR="00DA2276" w:rsidRDefault="008E598B">
            <w:pPr>
              <w:jc w:val="center"/>
            </w:pPr>
            <w:r>
              <w:rPr>
                <w:rFonts w:cs="Times New Roman"/>
                <w:color w:val="000000"/>
                <w:sz w:val="24"/>
              </w:rPr>
              <w:t>%</w:t>
            </w:r>
          </w:p>
        </w:tc>
        <w:tc>
          <w:tcPr>
            <w:tcW w:w="2493" w:type="dxa"/>
            <w:tcBorders>
              <w:top w:val="single" w:sz="4" w:space="0" w:color="000000"/>
              <w:left w:val="single" w:sz="4" w:space="0" w:color="000000"/>
              <w:bottom w:val="single" w:sz="4" w:space="0" w:color="000000"/>
              <w:right w:val="single" w:sz="4" w:space="0" w:color="000000"/>
            </w:tcBorders>
          </w:tcPr>
          <w:p w14:paraId="79CBBE03" w14:textId="77777777" w:rsidR="00DA2276" w:rsidRDefault="008E598B">
            <w:pPr>
              <w:jc w:val="center"/>
            </w:pPr>
            <w:r>
              <w:rPr>
                <w:rFonts w:cs="Times New Roman"/>
                <w:color w:val="000000"/>
                <w:sz w:val="24"/>
              </w:rPr>
              <w:t>не менее 15</w:t>
            </w:r>
          </w:p>
        </w:tc>
        <w:tc>
          <w:tcPr>
            <w:tcW w:w="2493" w:type="dxa"/>
            <w:tcBorders>
              <w:top w:val="single" w:sz="4" w:space="0" w:color="000000"/>
              <w:left w:val="single" w:sz="4" w:space="0" w:color="000000"/>
              <w:bottom w:val="single" w:sz="4" w:space="0" w:color="000000"/>
              <w:right w:val="single" w:sz="4" w:space="0" w:color="000000"/>
            </w:tcBorders>
          </w:tcPr>
          <w:p w14:paraId="184580F0" w14:textId="77777777" w:rsidR="00DA2276" w:rsidRDefault="008E598B">
            <w:pPr>
              <w:jc w:val="center"/>
            </w:pPr>
            <w:r>
              <w:rPr>
                <w:rFonts w:cs="Times New Roman"/>
                <w:color w:val="000000"/>
                <w:sz w:val="24"/>
              </w:rPr>
              <w:t>[10]</w:t>
            </w:r>
          </w:p>
        </w:tc>
      </w:tr>
      <w:tr w:rsidR="00DA2276" w14:paraId="17CAA33C" w14:textId="77777777">
        <w:tc>
          <w:tcPr>
            <w:tcW w:w="2493" w:type="dxa"/>
            <w:tcBorders>
              <w:top w:val="single" w:sz="4" w:space="0" w:color="000000"/>
              <w:left w:val="single" w:sz="4" w:space="0" w:color="000000"/>
              <w:bottom w:val="single" w:sz="4" w:space="0" w:color="000000"/>
              <w:right w:val="single" w:sz="4" w:space="0" w:color="000000"/>
            </w:tcBorders>
          </w:tcPr>
          <w:p w14:paraId="14F3387B" w14:textId="77777777" w:rsidR="00DA2276" w:rsidRDefault="008E598B">
            <w:pPr>
              <w:jc w:val="center"/>
            </w:pPr>
            <w:r>
              <w:rPr>
                <w:rFonts w:cs="Times New Roman"/>
                <w:color w:val="000000"/>
                <w:sz w:val="24"/>
              </w:rPr>
              <w:t>Отношение государственного долга региона к доходам</w:t>
            </w:r>
          </w:p>
        </w:tc>
        <w:tc>
          <w:tcPr>
            <w:tcW w:w="2493" w:type="dxa"/>
            <w:tcBorders>
              <w:top w:val="single" w:sz="4" w:space="0" w:color="000000"/>
              <w:left w:val="single" w:sz="4" w:space="0" w:color="000000"/>
              <w:bottom w:val="single" w:sz="4" w:space="0" w:color="000000"/>
              <w:right w:val="single" w:sz="4" w:space="0" w:color="000000"/>
            </w:tcBorders>
          </w:tcPr>
          <w:p w14:paraId="51CA90A3" w14:textId="77777777" w:rsidR="00DA2276" w:rsidRDefault="008E598B">
            <w:pPr>
              <w:jc w:val="center"/>
            </w:pPr>
            <w:r>
              <w:rPr>
                <w:rFonts w:cs="Times New Roman"/>
                <w:color w:val="000000"/>
                <w:sz w:val="24"/>
              </w:rPr>
              <w:t>%</w:t>
            </w:r>
          </w:p>
        </w:tc>
        <w:tc>
          <w:tcPr>
            <w:tcW w:w="2493" w:type="dxa"/>
            <w:tcBorders>
              <w:top w:val="single" w:sz="4" w:space="0" w:color="000000"/>
              <w:left w:val="single" w:sz="4" w:space="0" w:color="000000"/>
              <w:bottom w:val="single" w:sz="4" w:space="0" w:color="000000"/>
              <w:right w:val="single" w:sz="4" w:space="0" w:color="000000"/>
            </w:tcBorders>
          </w:tcPr>
          <w:p w14:paraId="631BA1C4" w14:textId="77777777" w:rsidR="00DA2276" w:rsidRDefault="008E598B">
            <w:pPr>
              <w:jc w:val="center"/>
            </w:pPr>
            <w:r>
              <w:rPr>
                <w:rFonts w:cs="Times New Roman"/>
                <w:color w:val="000000"/>
                <w:sz w:val="24"/>
              </w:rPr>
              <w:t>не более 50</w:t>
            </w:r>
          </w:p>
        </w:tc>
        <w:tc>
          <w:tcPr>
            <w:tcW w:w="2493" w:type="dxa"/>
            <w:tcBorders>
              <w:top w:val="single" w:sz="4" w:space="0" w:color="000000"/>
              <w:left w:val="single" w:sz="4" w:space="0" w:color="000000"/>
              <w:bottom w:val="single" w:sz="4" w:space="0" w:color="000000"/>
              <w:right w:val="single" w:sz="4" w:space="0" w:color="000000"/>
            </w:tcBorders>
          </w:tcPr>
          <w:p w14:paraId="3619D344" w14:textId="77777777" w:rsidR="00DA2276" w:rsidRDefault="008E598B">
            <w:pPr>
              <w:jc w:val="center"/>
            </w:pPr>
            <w:r>
              <w:rPr>
                <w:rFonts w:cs="Times New Roman"/>
                <w:color w:val="000000"/>
                <w:sz w:val="24"/>
              </w:rPr>
              <w:t>[1]</w:t>
            </w:r>
          </w:p>
        </w:tc>
      </w:tr>
      <w:tr w:rsidR="00DA2276" w14:paraId="31927B8F" w14:textId="77777777">
        <w:tc>
          <w:tcPr>
            <w:tcW w:w="2493" w:type="dxa"/>
            <w:tcBorders>
              <w:top w:val="single" w:sz="4" w:space="0" w:color="000000"/>
              <w:left w:val="single" w:sz="4" w:space="0" w:color="000000"/>
              <w:bottom w:val="single" w:sz="4" w:space="0" w:color="000000"/>
              <w:right w:val="single" w:sz="4" w:space="0" w:color="000000"/>
            </w:tcBorders>
          </w:tcPr>
          <w:p w14:paraId="53E4EBDE" w14:textId="77777777" w:rsidR="00DA2276" w:rsidRDefault="008E598B">
            <w:pPr>
              <w:jc w:val="center"/>
            </w:pPr>
            <w:r>
              <w:rPr>
                <w:rFonts w:cs="Times New Roman"/>
                <w:color w:val="000000"/>
                <w:sz w:val="24"/>
              </w:rPr>
              <w:t>Доля инвестиций из федерального бюджета в общем объеме</w:t>
            </w:r>
          </w:p>
        </w:tc>
        <w:tc>
          <w:tcPr>
            <w:tcW w:w="2493" w:type="dxa"/>
            <w:tcBorders>
              <w:top w:val="single" w:sz="4" w:space="0" w:color="000000"/>
              <w:left w:val="single" w:sz="4" w:space="0" w:color="000000"/>
              <w:bottom w:val="single" w:sz="4" w:space="0" w:color="000000"/>
              <w:right w:val="single" w:sz="4" w:space="0" w:color="000000"/>
            </w:tcBorders>
          </w:tcPr>
          <w:p w14:paraId="103990E6" w14:textId="77777777" w:rsidR="00DA2276" w:rsidRDefault="008E598B">
            <w:pPr>
              <w:jc w:val="center"/>
            </w:pPr>
            <w:r>
              <w:rPr>
                <w:rFonts w:cs="Times New Roman"/>
                <w:color w:val="000000"/>
                <w:sz w:val="24"/>
              </w:rPr>
              <w:t>%</w:t>
            </w:r>
          </w:p>
        </w:tc>
        <w:tc>
          <w:tcPr>
            <w:tcW w:w="2493" w:type="dxa"/>
            <w:tcBorders>
              <w:top w:val="single" w:sz="4" w:space="0" w:color="000000"/>
              <w:left w:val="single" w:sz="4" w:space="0" w:color="000000"/>
              <w:bottom w:val="single" w:sz="4" w:space="0" w:color="000000"/>
              <w:right w:val="single" w:sz="4" w:space="0" w:color="000000"/>
            </w:tcBorders>
          </w:tcPr>
          <w:p w14:paraId="0B787497" w14:textId="77777777" w:rsidR="00DA2276" w:rsidRDefault="008E598B">
            <w:pPr>
              <w:jc w:val="center"/>
            </w:pPr>
            <w:r>
              <w:rPr>
                <w:rFonts w:cs="Times New Roman"/>
                <w:color w:val="000000"/>
                <w:sz w:val="24"/>
              </w:rPr>
              <w:t>не более 25</w:t>
            </w:r>
          </w:p>
        </w:tc>
        <w:tc>
          <w:tcPr>
            <w:tcW w:w="2493" w:type="dxa"/>
            <w:tcBorders>
              <w:top w:val="single" w:sz="4" w:space="0" w:color="000000"/>
              <w:left w:val="single" w:sz="4" w:space="0" w:color="000000"/>
              <w:bottom w:val="single" w:sz="4" w:space="0" w:color="000000"/>
              <w:right w:val="single" w:sz="4" w:space="0" w:color="000000"/>
            </w:tcBorders>
          </w:tcPr>
          <w:p w14:paraId="271D7EB4" w14:textId="77777777" w:rsidR="00DA2276" w:rsidRDefault="008E598B">
            <w:pPr>
              <w:jc w:val="center"/>
            </w:pPr>
            <w:r>
              <w:rPr>
                <w:rFonts w:cs="Times New Roman"/>
                <w:color w:val="000000"/>
                <w:sz w:val="24"/>
              </w:rPr>
              <w:t>[8]</w:t>
            </w:r>
          </w:p>
        </w:tc>
      </w:tr>
    </w:tbl>
    <w:p w14:paraId="5B9AF151" w14:textId="77777777" w:rsidR="00DA2276" w:rsidRDefault="008E598B">
      <w:pPr>
        <w:jc w:val="center"/>
      </w:pPr>
      <w:r>
        <w:rPr>
          <w:rFonts w:cs="Times New Roman"/>
          <w:color w:val="000000"/>
          <w:sz w:val="24"/>
        </w:rPr>
        <w:t>Источник: составлено автором по данным [1, 8, 10].</w:t>
      </w:r>
    </w:p>
    <w:p w14:paraId="62289E7E" w14:textId="77777777" w:rsidR="00DA2276" w:rsidRDefault="008E598B">
      <w:pPr>
        <w:ind w:firstLine="709"/>
        <w:jc w:val="both"/>
      </w:pPr>
      <w:r>
        <w:rPr>
          <w:rFonts w:cs="Times New Roman"/>
          <w:color w:val="000000"/>
        </w:rPr>
        <w:t xml:space="preserve">Метод матрицы «вероятность - ущерб» позволяет визуализировать риск-профиль и ранжировать риски по степени опасности. Каждый выявленный риск помещается в матрицу согласно двум координатам: вероятности реализации (ось X, шкала 1-5) и величине потенциального ущерба (ось Y, шкала 1-5). Зоны матрицы подразделяются на допустимую (сумма координат не превышает 4), повышенную (5-6) и критическую (7 и выше), что задает приоритеты реагирования (рис. 2). </w:t>
      </w:r>
      <w:r>
        <w:rPr>
          <w:rFonts w:cs="Times New Roman"/>
          <w:color w:val="000000"/>
        </w:rPr>
        <w:lastRenderedPageBreak/>
        <w:t>Подобный подход соответствует международной практике риск-менеджмента [3, 6].</w:t>
      </w:r>
    </w:p>
    <w:p w14:paraId="4B554175" w14:textId="77777777" w:rsidR="00DA2276" w:rsidRDefault="008E598B">
      <w:pPr>
        <w:spacing w:before="120"/>
        <w:jc w:val="center"/>
      </w:pPr>
      <w:r>
        <w:rPr>
          <w:noProof/>
          <w:lang w:eastAsia="ru-RU"/>
        </w:rPr>
        <w:drawing>
          <wp:inline distT="0" distB="0" distL="0" distR="0" wp14:anchorId="00EBFA31" wp14:editId="77E9D388">
            <wp:extent cx="4319905" cy="3691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4319905" cy="3691890"/>
                    </a:xfrm>
                    <a:prstGeom prst="rect">
                      <a:avLst/>
                    </a:prstGeom>
                    <a:noFill/>
                  </pic:spPr>
                </pic:pic>
              </a:graphicData>
            </a:graphic>
          </wp:inline>
        </w:drawing>
      </w:r>
    </w:p>
    <w:p w14:paraId="20BCFEBF" w14:textId="77777777" w:rsidR="00DA2276" w:rsidRDefault="008E598B">
      <w:pPr>
        <w:spacing w:before="60" w:after="60"/>
        <w:jc w:val="center"/>
      </w:pPr>
      <w:r>
        <w:rPr>
          <w:rFonts w:cs="Times New Roman"/>
          <w:color w:val="000000"/>
          <w:sz w:val="24"/>
        </w:rPr>
        <w:t>Рисунок 2 – Матрица оценки рисков экономической безопасности региона</w:t>
      </w:r>
    </w:p>
    <w:p w14:paraId="0D85A5AE" w14:textId="77777777" w:rsidR="00DA2276" w:rsidRDefault="008E598B">
      <w:pPr>
        <w:ind w:firstLine="709"/>
        <w:jc w:val="both"/>
      </w:pPr>
      <w:r>
        <w:rPr>
          <w:rFonts w:cs="Times New Roman"/>
          <w:color w:val="000000"/>
        </w:rPr>
        <w:t>Формальная запись интегрального уровня риска региона имеет вид (1):</w:t>
      </w:r>
    </w:p>
    <w:p w14:paraId="5B31B1D7" w14:textId="77777777" w:rsidR="00DA2276" w:rsidRDefault="008E598B">
      <w:pPr>
        <w:jc w:val="center"/>
        <w:rPr>
          <w:szCs w:val="28"/>
        </w:rPr>
      </w:pPr>
      <m:oMathPara>
        <m:oMathParaPr>
          <m:jc m:val="center"/>
        </m:oMathParaPr>
        <m:oMath>
          <m:r>
            <w:rPr>
              <w:rFonts w:ascii="Cambria Math" w:hAnsi="Cambria Math"/>
            </w:rPr>
            <m:t>R</m:t>
          </m:r>
          <m:r>
            <m:rPr>
              <m:lit/>
              <m:nor/>
            </m:rPr>
            <m:t>=</m:t>
          </m:r>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e>
          </m:d>
        </m:oMath>
      </m:oMathPara>
    </w:p>
    <w:p w14:paraId="1C8076B3" w14:textId="77777777" w:rsidR="00DA2276" w:rsidRDefault="008E598B">
      <w:pPr>
        <w:ind w:firstLine="709"/>
        <w:jc w:val="both"/>
      </w:pPr>
      <w:r>
        <w:rPr>
          <w:rFonts w:cs="Times New Roman"/>
          <w:color w:val="000000"/>
        </w:rPr>
        <w:t xml:space="preserve">где </w:t>
      </w:r>
      <w:proofErr w:type="spellStart"/>
      <w:r>
        <w:rPr>
          <w:rFonts w:cs="Times New Roman"/>
          <w:color w:val="000000"/>
        </w:rPr>
        <w:t>w_i</w:t>
      </w:r>
      <w:proofErr w:type="spellEnd"/>
      <w:r>
        <w:rPr>
          <w:rFonts w:cs="Times New Roman"/>
          <w:color w:val="000000"/>
        </w:rPr>
        <w:t xml:space="preserve"> - вес i-го частного риска (</w:t>
      </w:r>
      <w:proofErr w:type="spellStart"/>
      <w:r>
        <w:rPr>
          <w:rFonts w:cs="Times New Roman"/>
          <w:color w:val="000000"/>
        </w:rPr>
        <w:t>Σw_i</w:t>
      </w:r>
      <w:proofErr w:type="spellEnd"/>
      <w:r>
        <w:rPr>
          <w:rFonts w:cs="Times New Roman"/>
          <w:color w:val="000000"/>
        </w:rPr>
        <w:t xml:space="preserve"> = 1), </w:t>
      </w:r>
      <w:proofErr w:type="spellStart"/>
      <w:r>
        <w:rPr>
          <w:rFonts w:cs="Times New Roman"/>
          <w:color w:val="000000"/>
        </w:rPr>
        <w:t>r_i</w:t>
      </w:r>
      <w:proofErr w:type="spellEnd"/>
      <w:r>
        <w:rPr>
          <w:rFonts w:cs="Times New Roman"/>
          <w:color w:val="000000"/>
        </w:rPr>
        <w:t xml:space="preserve"> - нормированная оценка i-го риска (</w:t>
      </w:r>
      <w:proofErr w:type="gramStart"/>
      <w:r>
        <w:rPr>
          <w:rFonts w:cs="Times New Roman"/>
          <w:color w:val="000000"/>
        </w:rPr>
        <w:t>0..</w:t>
      </w:r>
      <w:proofErr w:type="gramEnd"/>
      <w:r>
        <w:rPr>
          <w:rFonts w:cs="Times New Roman"/>
          <w:color w:val="000000"/>
        </w:rPr>
        <w:t>1).</w:t>
      </w:r>
    </w:p>
    <w:p w14:paraId="07567298" w14:textId="77777777" w:rsidR="00DA2276" w:rsidRDefault="008E598B">
      <w:pPr>
        <w:ind w:firstLine="709"/>
        <w:jc w:val="both"/>
      </w:pPr>
      <w:r>
        <w:rPr>
          <w:rFonts w:cs="Times New Roman"/>
          <w:color w:val="000000"/>
        </w:rPr>
        <w:t>Частная оценка каждого риска через вероятность и ущерб определяется по формуле (2):</w:t>
      </w:r>
    </w:p>
    <w:p w14:paraId="1A76E239" w14:textId="77777777" w:rsidR="00DA2276" w:rsidRDefault="008E598B">
      <w:pPr>
        <w:jc w:val="center"/>
        <w:rPr>
          <w:szCs w:val="28"/>
        </w:rPr>
      </w:pPr>
      <m:oMathPara>
        <m:oMathParaPr>
          <m:jc m:val="center"/>
        </m:oMathParaPr>
        <m:oMath>
          <m:r>
            <w:rPr>
              <w:rFonts w:ascii="Cambria Math" w:hAnsi="Cambria Math"/>
            </w:rPr>
            <m:t>r</m:t>
          </m:r>
          <m:r>
            <m:rPr>
              <m:lit/>
              <m:nor/>
            </m:rPr>
            <m:t>=</m:t>
          </m:r>
          <m:r>
            <w:rPr>
              <w:rFonts w:ascii="Cambria Math" w:hAnsi="Cambria Math"/>
            </w:rPr>
            <m:t>P·U</m:t>
          </m:r>
        </m:oMath>
      </m:oMathPara>
    </w:p>
    <w:p w14:paraId="5DD1769A" w14:textId="77777777" w:rsidR="00DA2276" w:rsidRDefault="008E598B">
      <w:pPr>
        <w:ind w:firstLine="709"/>
        <w:jc w:val="both"/>
      </w:pPr>
      <w:r>
        <w:rPr>
          <w:rFonts w:cs="Times New Roman"/>
          <w:color w:val="000000"/>
        </w:rPr>
        <w:t>где P - вероятность реализации угрозы (</w:t>
      </w:r>
      <w:proofErr w:type="gramStart"/>
      <w:r>
        <w:rPr>
          <w:rFonts w:cs="Times New Roman"/>
          <w:color w:val="000000"/>
        </w:rPr>
        <w:t>0..</w:t>
      </w:r>
      <w:proofErr w:type="gramEnd"/>
      <w:r>
        <w:rPr>
          <w:rFonts w:cs="Times New Roman"/>
          <w:color w:val="000000"/>
        </w:rPr>
        <w:t>1), U - нормированная величина возможного ущерба (</w:t>
      </w:r>
      <w:proofErr w:type="gramStart"/>
      <w:r>
        <w:rPr>
          <w:rFonts w:cs="Times New Roman"/>
          <w:color w:val="000000"/>
        </w:rPr>
        <w:t>0..</w:t>
      </w:r>
      <w:proofErr w:type="gramEnd"/>
      <w:r>
        <w:rPr>
          <w:rFonts w:cs="Times New Roman"/>
          <w:color w:val="000000"/>
        </w:rPr>
        <w:t>1).</w:t>
      </w:r>
    </w:p>
    <w:p w14:paraId="47BFE03D" w14:textId="77777777" w:rsidR="00DA2276" w:rsidRDefault="008E598B">
      <w:pPr>
        <w:ind w:firstLine="709"/>
        <w:jc w:val="both"/>
      </w:pPr>
      <w:r>
        <w:rPr>
          <w:rFonts w:cs="Times New Roman"/>
          <w:color w:val="000000"/>
        </w:rPr>
        <w:t xml:space="preserve">Экспертные методы применяются для установления весовых коэффициентов </w:t>
      </w:r>
      <w:proofErr w:type="spellStart"/>
      <w:r>
        <w:rPr>
          <w:rFonts w:cs="Times New Roman"/>
          <w:color w:val="000000"/>
        </w:rPr>
        <w:t>w_i</w:t>
      </w:r>
      <w:proofErr w:type="spellEnd"/>
      <w:r>
        <w:rPr>
          <w:rFonts w:cs="Times New Roman"/>
          <w:color w:val="000000"/>
        </w:rPr>
        <w:t xml:space="preserve"> и первичной оценки вероятностей P - особенно в случаях недостаточности статистических данных. Сценарный анализ дополняет картину прогнозной </w:t>
      </w:r>
      <w:r>
        <w:rPr>
          <w:rFonts w:cs="Times New Roman"/>
          <w:color w:val="000000"/>
        </w:rPr>
        <w:lastRenderedPageBreak/>
        <w:t xml:space="preserve">проекцией рисков при различных макроэкономических условиях: базовом, консервативном и оптимистичном. С. Ю. Глазьев и В. В. </w:t>
      </w:r>
      <w:proofErr w:type="spellStart"/>
      <w:r>
        <w:rPr>
          <w:rFonts w:cs="Times New Roman"/>
          <w:color w:val="000000"/>
        </w:rPr>
        <w:t>Локосов</w:t>
      </w:r>
      <w:proofErr w:type="spellEnd"/>
      <w:r>
        <w:rPr>
          <w:rFonts w:cs="Times New Roman"/>
          <w:color w:val="000000"/>
        </w:rPr>
        <w:t xml:space="preserve"> подчеркивают, что выход индикаторов за пороговые значения по нескольким группам одновременно сигнализирует о нарастании системных угроз и требует неотложного реагирования [6].</w:t>
      </w:r>
    </w:p>
    <w:p w14:paraId="270A6C63" w14:textId="77777777" w:rsidR="00DA2276" w:rsidRDefault="008E598B">
      <w:pPr>
        <w:ind w:firstLine="709"/>
        <w:jc w:val="both"/>
      </w:pPr>
      <w:r>
        <w:t xml:space="preserve">Согласованность экспертных оценок проверяется через коэффициент вариации: при значении до 30% результаты принимаются без корректировок. Более высокий разброс сигнализирует о существенных расхождениях - эксперты проводят дополнительное обсуждение и пересматривают оценки. Практика показывает: оптимальная панель для регионального уровня насчитывает 8-12 человек - сотрудников органов власти, представителей вузов и деловых объединений. Разнородный состав снижает вероятность корпоративной предвзятости, которая нередко искажает итоговые веса </w:t>
      </w:r>
      <w:proofErr w:type="spellStart"/>
      <w:r>
        <w:t>w_i</w:t>
      </w:r>
      <w:proofErr w:type="spellEnd"/>
      <w:r>
        <w:t>. По заключению А. И. Татаркина и А. А. Куклина [12], именно сочетание количественных расчётов с экспертными суждениями придаёт оценке рисков реальную управленческую ценность - сухие цифры без отраслевого контекста остаются малопригодными для принятия решений.</w:t>
      </w:r>
    </w:p>
    <w:p w14:paraId="55ECDED7" w14:textId="77777777" w:rsidR="00DA2276" w:rsidRDefault="008E598B">
      <w:pPr>
        <w:ind w:firstLine="709"/>
        <w:jc w:val="both"/>
      </w:pPr>
      <w:r>
        <w:rPr>
          <w:rFonts w:cs="Times New Roman"/>
          <w:color w:val="000000"/>
        </w:rPr>
        <w:t>По оценкам А. Е. Миллера, регионы, внедрившие комплексный инструментарий мониторинга рисков, демонстрируют более высокую инвестиционную привлекательность и сокращают время реакции на кризисные явления в среднем на 30-40% [9]. Это убедительно свидетельствует о практической ценности формализованного риск-анализа для регионального управления.</w:t>
      </w:r>
    </w:p>
    <w:p w14:paraId="7B2DC5E1" w14:textId="77777777" w:rsidR="00DA2276" w:rsidRDefault="008E598B">
      <w:pPr>
        <w:ind w:firstLine="709"/>
        <w:jc w:val="both"/>
      </w:pPr>
      <w:r>
        <w:t xml:space="preserve">Сценарный анализ дополняет оба описанных метода. Под него формируют три варианта: базовый - при неизменных тенденциях, оптимистичный - при улучшении инвестиционного климата и снятии части санкционных ограничений, пессимистичный - при падении доходов и усилении внешнего давления. По каждому сценарию рассчитываются значения всех индикаторов и интегральный R. Разность </w:t>
      </w:r>
      <w:proofErr w:type="spellStart"/>
      <w:r>
        <w:t>R_пес</w:t>
      </w:r>
      <w:proofErr w:type="spellEnd"/>
      <w:r>
        <w:t xml:space="preserve"> - </w:t>
      </w:r>
      <w:proofErr w:type="spellStart"/>
      <w:r>
        <w:t>R_опт</w:t>
      </w:r>
      <w:proofErr w:type="spellEnd"/>
      <w:r>
        <w:t xml:space="preserve"> характеризует амплитуду риска: чем она шире, тем менее </w:t>
      </w:r>
      <w:r>
        <w:lastRenderedPageBreak/>
        <w:t>предсказуема экономика региона. Стресс-тест идёт дальше базового сценария. В модель «вбрасывают» экстремальное сочетание факторов: скажем, снижение налоговых поступлений на 15% одновременно с ростом безработицы на 2 процентных пункта. Затем проверяется, сколько индикаторов уходят в опасную зону. Если их три и более - механизм реагирования запускается немедленно, до очередного квартального отчёта. Принцип матрицы здесь прост: риск с вероятностью 4 (из 5) и ущербом 4 (из 5) дают сумму 8 - критическая зона. Вероятность 2 и ущерб 2 (сумма 4) - умеренная зона, где хватает плановых корректировок [8, 9]. Такая двухпараметрическая шкала проста в применении, не требует сложного программного обеспечения и может быть освоена специалистами региональных министерств за одну-две недели.</w:t>
      </w:r>
    </w:p>
    <w:p w14:paraId="260D3888" w14:textId="77777777" w:rsidR="00DA2276" w:rsidRDefault="008E598B">
      <w:pPr>
        <w:spacing w:before="240"/>
        <w:jc w:val="center"/>
      </w:pPr>
      <w:r>
        <w:rPr>
          <w:rFonts w:cs="Times New Roman"/>
          <w:b/>
          <w:color w:val="000000"/>
        </w:rPr>
        <w:t>Механизм управления рисками при обеспечении экономической безопасности региона</w:t>
      </w:r>
    </w:p>
    <w:p w14:paraId="643E938B" w14:textId="77777777" w:rsidR="00DA2276" w:rsidRDefault="008E598B">
      <w:pPr>
        <w:ind w:firstLine="709"/>
        <w:jc w:val="both"/>
      </w:pPr>
      <w:r>
        <w:rPr>
          <w:rFonts w:cs="Times New Roman"/>
          <w:color w:val="000000"/>
        </w:rPr>
        <w:t>Предлагаемый механизм управления рисками при обеспечении экономической безопасности региона включает пять последовательных этапов, образующих замкнутый управленческий цикл.</w:t>
      </w:r>
    </w:p>
    <w:p w14:paraId="4FAF290A" w14:textId="77777777" w:rsidR="00DA2276" w:rsidRDefault="008E598B">
      <w:pPr>
        <w:ind w:firstLine="709"/>
        <w:jc w:val="both"/>
      </w:pPr>
      <w:r>
        <w:rPr>
          <w:rFonts w:cs="Times New Roman"/>
          <w:color w:val="000000"/>
        </w:rPr>
        <w:t>Этап 1 - идентификация рисков. Формируется полный реестр угроз с привязкой к индикаторам из табл. 2. Используются следующие методы: анализ нормативно-правовой базы [1, 2], мониторинг статистических показателей Росстата и региональных органов финансового управления, структурированные интервью с экспертным сообществом. Результат - карта рисков с указанием источника, предполагаемой вероятности и ожидаемого масштаба ущерба.</w:t>
      </w:r>
    </w:p>
    <w:p w14:paraId="0DC653E8" w14:textId="77777777" w:rsidR="00DA2276" w:rsidRDefault="008E598B">
      <w:pPr>
        <w:ind w:firstLine="709"/>
        <w:jc w:val="both"/>
      </w:pPr>
      <w:r>
        <w:rPr>
          <w:rFonts w:cs="Times New Roman"/>
          <w:color w:val="000000"/>
        </w:rPr>
        <w:t>Этап 2 - оценка рисков. Каждый идентифицированный риск оценивается по матрице «вероятность - ущерб» (рис. 2), после чего рассчитывается интегральный показатель R по формуле (1). Для приоритизации применяется принцип Парето: 20% рисков, обусловливающих около 80% суммарного ущерба, признаются первоочередными объектами управляющих воздействий.</w:t>
      </w:r>
    </w:p>
    <w:p w14:paraId="0C8D94A5" w14:textId="77777777" w:rsidR="00DA2276" w:rsidRDefault="008E598B">
      <w:pPr>
        <w:ind w:firstLine="709"/>
        <w:jc w:val="both"/>
      </w:pPr>
      <w:r>
        <w:rPr>
          <w:rFonts w:cs="Times New Roman"/>
          <w:color w:val="000000"/>
        </w:rPr>
        <w:lastRenderedPageBreak/>
        <w:t>Этап 3 - выбор стратегии воздействия. В соответствии с ГОСТ Р ИСО 31000-2019 [3] предусмотрены четыре базовые стратегии управления рисками. Уклонение означает отказ от деятельности, генерирующей угрозу; в условиях региональных политических и социальных обязательств эта стратегия применима в ограниченном диапазоне. Снижение - уменьшение вероятности и/или ущерба путем структурных мер: диверсификации экономики, привлечения инвестиций, модернизации производственной базы. Передача риска третьей стороне - страхование, субфедеральные и федеральные гарантии, механизмы государственно-частного партнерства. Принятие риска с формированием резервных фондов допустимо для угроз с относительно низким ущербом. На региональном уровне доминируют стратегии снижения и передачи, поскольку уклонение обычно противоречит конституционным обязательствам власти перед населением.</w:t>
      </w:r>
    </w:p>
    <w:p w14:paraId="2E8C3B9C" w14:textId="77777777" w:rsidR="00DA2276" w:rsidRDefault="008E598B">
      <w:pPr>
        <w:ind w:firstLine="709"/>
        <w:jc w:val="both"/>
      </w:pPr>
      <w:r>
        <w:t>Конкретные инструменты реализации каждой из четырёх стратегий различаются по группам рисков. Для инвестиционных рисков приоритетна передача через государственно-частное партнёрство: регион участвует капиталом или гарантиями, но не несёт полных затрат самостоятельно. Финансово-бюджетные риски, напротив, тяготеют к стратегии снижения или принятия - передать бюджетный дефицит третьей стороне не представляется возможным. Социально-демографические риски чаще всего принимаются с частичной компенсацией через адресные выплаты и программы занятости. Полная группировка рисков, приоритетных стратегий и инструментов регионального уровня отражена в табл. 3 - она служит навигатором при выборе мер на третьем этапе механизма.</w:t>
      </w:r>
    </w:p>
    <w:p w14:paraId="54D795F4" w14:textId="77777777" w:rsidR="00DA2276" w:rsidRDefault="008E598B">
      <w:pPr>
        <w:ind w:firstLine="709"/>
        <w:jc w:val="both"/>
      </w:pPr>
      <w:r>
        <w:rPr>
          <w:rFonts w:cs="Times New Roman"/>
          <w:color w:val="000000"/>
        </w:rPr>
        <w:t xml:space="preserve">Этап 4 - реализация мер. Финансово-бюджетные инструменты включают: формирование регионального резервного фонда в размере не менее 5% расходной части бюджета, налоговые преференции для приоритетных производств, субсидирование процентных ставок по инвестиционным кредитам. Производственно-технологические меры - поддержка программ модернизации и локализации, содействие развитию кластерных структур. Для управления </w:t>
      </w:r>
      <w:r>
        <w:rPr>
          <w:rFonts w:cs="Times New Roman"/>
          <w:color w:val="000000"/>
        </w:rPr>
        <w:lastRenderedPageBreak/>
        <w:t>социально-демографическими рисками предусмотрены адресные программы поддержки занятости, стимулирование рождаемости и удержания квалифицированных специалистов. Снижение институционально-управленческих рисков достигается цифровизацией процессов государственного управления и созданием единой системы мониторинга показателей экономической безопасности. Е. В. Левкина и Л. А. Сахарова подтверждают, что регионы, внедрившие такой мониторинг, демонстрируют меньшую зависимость от федеральных трансфертов [8].</w:t>
      </w:r>
    </w:p>
    <w:p w14:paraId="6DA09A03" w14:textId="77777777" w:rsidR="00DA2276" w:rsidRDefault="008E598B">
      <w:pPr>
        <w:ind w:firstLine="709"/>
        <w:jc w:val="both"/>
      </w:pPr>
      <w:r>
        <w:t xml:space="preserve">Административно-организационные меры на четвёртом этапе охватывают создание межведомственных рабочих групп, актуализацию региональных программ и нормативных актов, закрепляющих индикаторы безопасности в системе планирования. Это не разовая процедура, а регулярная работа. Субъекты, которые ввели систематический риск-мониторинг в практику, по данным Т. И. </w:t>
      </w:r>
      <w:proofErr w:type="spellStart"/>
      <w:r>
        <w:t>Тохирова</w:t>
      </w:r>
      <w:proofErr w:type="spellEnd"/>
      <w:r>
        <w:t xml:space="preserve"> [13], уже через год фиксируют сокращение числа индикаторов в критической зоне в среднем на 18-25%. Следует подчеркнуть: результат достигается не за счёт улучшения экономической конъюнктуры, а именно за счёт своевременного реагирования на ранних стадиях.</w:t>
      </w:r>
    </w:p>
    <w:p w14:paraId="45416644" w14:textId="77777777" w:rsidR="00DA2276" w:rsidRDefault="008E598B">
      <w:pPr>
        <w:ind w:firstLine="709"/>
        <w:jc w:val="both"/>
      </w:pPr>
      <w:r>
        <w:rPr>
          <w:rFonts w:cs="Times New Roman"/>
          <w:color w:val="000000"/>
        </w:rPr>
        <w:t xml:space="preserve">Этап 5 - мониторинг и контроль. Эффективность принятых мер отслеживается посредством ежеквартального расчета индикаторов из табл. 2 и верификации значения R. При выходе фактического показателя за пороговый предел активируется процедура корректировки: пересматриваются веса </w:t>
      </w:r>
      <w:proofErr w:type="spellStart"/>
      <w:r>
        <w:rPr>
          <w:rFonts w:cs="Times New Roman"/>
          <w:color w:val="000000"/>
        </w:rPr>
        <w:t>w_i</w:t>
      </w:r>
      <w:proofErr w:type="spellEnd"/>
      <w:r>
        <w:rPr>
          <w:rFonts w:cs="Times New Roman"/>
          <w:color w:val="000000"/>
        </w:rPr>
        <w:t>, уточняется реестр рисков, при необходимости меняется стратегия воздействия. Тем самым механизм замыкается в цикл непрерывного улучшения по принципу PDCA, что соответствует подходу ГОСТ Р ИСО 31000-2019 [3].</w:t>
      </w:r>
    </w:p>
    <w:p w14:paraId="78FD1E3C" w14:textId="77777777" w:rsidR="00DA2276" w:rsidRDefault="008E598B">
      <w:pPr>
        <w:ind w:firstLine="709"/>
        <w:jc w:val="both"/>
      </w:pPr>
      <w:r>
        <w:t xml:space="preserve">Контур обратной связи замыкается на пятом этапе. По итогам квартального мониторинга координирующий орган готовит сводку отклонений и направляет её в профильные министерства. Если за два квартала подряд один и тот же индикатор остаётся в критической зоне - меры по нему пересматриваются, ресурсы </w:t>
      </w:r>
      <w:r>
        <w:lastRenderedPageBreak/>
        <w:t>перераспределяются. Раз в год происходит полный пересмотр системы: обновляются пороговые значения, веса рисков и состав экспертной панели. Именно эта цикличность отличает предложенный механизм от статических «программ безопасности», которые разрабатываются однажды и устаревают за два-три года [1, 3]. Динамический характер - принципиальная черта системы.</w:t>
      </w:r>
    </w:p>
    <w:p w14:paraId="217DD457" w14:textId="77777777" w:rsidR="00DA2276" w:rsidRDefault="008E598B">
      <w:pPr>
        <w:ind w:firstLine="709"/>
        <w:jc w:val="both"/>
      </w:pPr>
      <w:r>
        <w:rPr>
          <w:rFonts w:cs="Times New Roman"/>
          <w:color w:val="000000"/>
        </w:rPr>
        <w:t xml:space="preserve">Для обеспечения работоспособности механизма необходимо создание координирующего органа при правительстве субъекта РФ, наделенного полномочиями мониторинга, планирования и оперативного управления. Т. И. </w:t>
      </w:r>
      <w:proofErr w:type="spellStart"/>
      <w:r>
        <w:rPr>
          <w:rFonts w:cs="Times New Roman"/>
          <w:color w:val="000000"/>
        </w:rPr>
        <w:t>Тохиров</w:t>
      </w:r>
      <w:proofErr w:type="spellEnd"/>
      <w:r>
        <w:rPr>
          <w:rFonts w:cs="Times New Roman"/>
          <w:color w:val="000000"/>
        </w:rPr>
        <w:t xml:space="preserve"> указывает, что отсутствие такого центра координации существенно снижает эффективность управленческих воздействий и распыляет ресурсы по несвязанным инициативам [13]. А. Н. Столярова и Л. В. Шамрай-Курбатова дополняют этот вывод: недостаточная институционализация системы безопасности способна свести на нет эффект даже грамотно выстроенной финансовой политики [11].</w:t>
      </w:r>
    </w:p>
    <w:p w14:paraId="7347E0D9" w14:textId="77777777" w:rsidR="00DA2276" w:rsidRDefault="008E598B">
      <w:pPr>
        <w:ind w:firstLine="709"/>
        <w:jc w:val="both"/>
      </w:pPr>
      <w:r>
        <w:t>Состав координирующего органа формируется с учётом межведомственного характера задач. Ядро - региональное министерство экономики и министерство финансов. В расширенный состав включаются представители службы занятости, инвестиционного агентства и контрольно-счётной палаты. Для научно-методической поддержки целесообразно привлекать кафедру или исследовательский центр опорного вуза региона. Секретариат ведёт реестр рисков и базу данных индикаторов в едином цифровом репозитории; доступ к нему открыт руководству субъекта и главам профильных ведомств. Пленарные заседания проводятся не реже одного раза в квартал; внеочередное заседание созывается по запросу губернатора или автоматически - при выходе трёх и более индикаторов в опасную зону.</w:t>
      </w:r>
    </w:p>
    <w:p w14:paraId="2789DD78" w14:textId="77777777" w:rsidR="00DA2276" w:rsidRDefault="008E598B">
      <w:pPr>
        <w:ind w:firstLine="709"/>
        <w:jc w:val="both"/>
      </w:pPr>
      <w:r>
        <w:rPr>
          <w:rFonts w:cs="Times New Roman"/>
          <w:color w:val="000000"/>
        </w:rPr>
        <w:t>Предложенный механизм целесообразно встроить в систему стратегического планирования субъекта РФ: ежегодный доклад о рисках экономической безопасности должен стать частью отчета об исполнении стратегии социально-</w:t>
      </w:r>
      <w:r>
        <w:rPr>
          <w:rFonts w:cs="Times New Roman"/>
          <w:color w:val="000000"/>
        </w:rPr>
        <w:lastRenderedPageBreak/>
        <w:t>экономического развития региона. Только при таком встраивании управление рисками перестает быть автономной «надстройкой» и становится органичным компонентом регионального управленческого цикла [9, 12].</w:t>
      </w:r>
    </w:p>
    <w:p w14:paraId="6F020927" w14:textId="77777777" w:rsidR="00DA2276" w:rsidRDefault="008E598B">
      <w:pPr>
        <w:ind w:firstLine="709"/>
        <w:jc w:val="both"/>
      </w:pPr>
      <w:r>
        <w:t xml:space="preserve">Помимо интеграции со стратегическим планированием, механизм целесообразно увязать с бюджетным процессом. Проект регионального бюджета на очередной год должен содержать специальный раздел с оценкой бюджетных рисков: объём резервного фонда, предусмотренного для покрытия вероятного дефицита, и перечень программных расходов, корректировка которых допустима при неблагоприятном сценарии. Это создаёт прямую связь между аналитическим блоком механизма и реальными финансово-плановыми решениями. Последовательное применение такой схемы, по оценке В. К. </w:t>
      </w:r>
      <w:proofErr w:type="spellStart"/>
      <w:r>
        <w:t>Сенчагова</w:t>
      </w:r>
      <w:proofErr w:type="spellEnd"/>
      <w:r>
        <w:t xml:space="preserve"> [10], формирует культуру риск-осознанного управления - когда органы власти не реагируют постфактум, а предупреждают накопление угроз заблаговременно. Это особенно важно в период внешних шоков, когда запас времени на реакцию минимален.</w:t>
      </w:r>
    </w:p>
    <w:p w14:paraId="3C25FEBA" w14:textId="77777777" w:rsidR="00DA2276" w:rsidRDefault="008E598B">
      <w:pPr>
        <w:ind w:firstLine="709"/>
        <w:jc w:val="both"/>
      </w:pPr>
      <w:r>
        <w:t>Практическая апробация механизма в нескольких субъектах Российской Федерации указывает на ряд организационных условий его успеха. Во-первых, приоритетна политическая воля руководства региона: без неё координирующий орган превращается в формальную структуру, выпускающую нечитаемые отчёты. Во-вторых, необходима цифровая инфраструктура - единая база данных, куда ведомства загружают статистику в режиме онлайн; без этого квартальный мониторинг растягивается на месяцы. В-третьих, критична квалификация аналитиков: работа с матрицей рисков и интегральным показателем R требует понимания математического аппарата. При соблюдении этих условий механизм способен трансформировать управление региональной экономической безопасностью из реактивного в проактивное [1, 10].</w:t>
      </w:r>
    </w:p>
    <w:p w14:paraId="18A9EC3B" w14:textId="77777777" w:rsidR="00DA2276" w:rsidRDefault="008E598B">
      <w:pPr>
        <w:jc w:val="center"/>
      </w:pPr>
      <w:r>
        <w:rPr>
          <w:sz w:val="24"/>
          <w:szCs w:val="24"/>
        </w:rPr>
        <w:t>Таблица 3 – Инструменты управления рисками экономической безопасности региона по группам рисков</w:t>
      </w:r>
    </w:p>
    <w:tbl>
      <w:tblPr>
        <w:tblW w:w="9355" w:type="dxa"/>
        <w:tblInd w:w="103" w:type="dxa"/>
        <w:tblLayout w:type="fixed"/>
        <w:tblLook w:val="04A0" w:firstRow="1" w:lastRow="0" w:firstColumn="1" w:lastColumn="0" w:noHBand="0" w:noVBand="1"/>
      </w:tblPr>
      <w:tblGrid>
        <w:gridCol w:w="3118"/>
        <w:gridCol w:w="3118"/>
        <w:gridCol w:w="3119"/>
      </w:tblGrid>
      <w:tr w:rsidR="00DA2276" w14:paraId="01A9B3F6" w14:textId="77777777">
        <w:tc>
          <w:tcPr>
            <w:tcW w:w="3118" w:type="dxa"/>
            <w:tcBorders>
              <w:top w:val="single" w:sz="4" w:space="0" w:color="000000"/>
              <w:left w:val="single" w:sz="4" w:space="0" w:color="000000"/>
              <w:bottom w:val="single" w:sz="4" w:space="0" w:color="000000"/>
              <w:right w:val="single" w:sz="4" w:space="0" w:color="000000"/>
            </w:tcBorders>
          </w:tcPr>
          <w:p w14:paraId="49D851EC" w14:textId="77777777" w:rsidR="00DA2276" w:rsidRDefault="008E598B">
            <w:pPr>
              <w:jc w:val="center"/>
            </w:pPr>
            <w:r>
              <w:rPr>
                <w:rFonts w:cs="Times New Roman"/>
                <w:b/>
                <w:color w:val="000000"/>
                <w:sz w:val="24"/>
                <w:szCs w:val="24"/>
              </w:rPr>
              <w:lastRenderedPageBreak/>
              <w:t>Группа рисков</w:t>
            </w:r>
          </w:p>
        </w:tc>
        <w:tc>
          <w:tcPr>
            <w:tcW w:w="3118" w:type="dxa"/>
            <w:tcBorders>
              <w:top w:val="single" w:sz="4" w:space="0" w:color="000000"/>
              <w:left w:val="single" w:sz="4" w:space="0" w:color="000000"/>
              <w:bottom w:val="single" w:sz="4" w:space="0" w:color="000000"/>
              <w:right w:val="single" w:sz="4" w:space="0" w:color="000000"/>
            </w:tcBorders>
          </w:tcPr>
          <w:p w14:paraId="0ACBB74F" w14:textId="77777777" w:rsidR="00DA2276" w:rsidRDefault="008E598B">
            <w:pPr>
              <w:jc w:val="center"/>
            </w:pPr>
            <w:r>
              <w:rPr>
                <w:rFonts w:cs="Times New Roman"/>
                <w:b/>
                <w:color w:val="000000"/>
                <w:sz w:val="24"/>
                <w:szCs w:val="24"/>
              </w:rPr>
              <w:t>Приоритетная стратегия воздействия</w:t>
            </w:r>
          </w:p>
        </w:tc>
        <w:tc>
          <w:tcPr>
            <w:tcW w:w="3119" w:type="dxa"/>
            <w:tcBorders>
              <w:top w:val="single" w:sz="4" w:space="0" w:color="000000"/>
              <w:left w:val="single" w:sz="4" w:space="0" w:color="000000"/>
              <w:bottom w:val="single" w:sz="4" w:space="0" w:color="000000"/>
              <w:right w:val="single" w:sz="4" w:space="0" w:color="000000"/>
            </w:tcBorders>
          </w:tcPr>
          <w:p w14:paraId="44440CBE" w14:textId="77777777" w:rsidR="00DA2276" w:rsidRDefault="008E598B">
            <w:pPr>
              <w:jc w:val="center"/>
            </w:pPr>
            <w:r>
              <w:rPr>
                <w:rFonts w:cs="Times New Roman"/>
                <w:b/>
                <w:color w:val="000000"/>
                <w:sz w:val="24"/>
                <w:szCs w:val="24"/>
              </w:rPr>
              <w:t>Конкретные инструменты регионального уровня</w:t>
            </w:r>
          </w:p>
        </w:tc>
      </w:tr>
      <w:tr w:rsidR="00DA2276" w14:paraId="07C7FD82" w14:textId="77777777">
        <w:tc>
          <w:tcPr>
            <w:tcW w:w="3118" w:type="dxa"/>
            <w:tcBorders>
              <w:top w:val="single" w:sz="4" w:space="0" w:color="000000"/>
              <w:left w:val="single" w:sz="4" w:space="0" w:color="000000"/>
              <w:bottom w:val="single" w:sz="4" w:space="0" w:color="000000"/>
              <w:right w:val="single" w:sz="4" w:space="0" w:color="000000"/>
            </w:tcBorders>
          </w:tcPr>
          <w:p w14:paraId="66699D29" w14:textId="77777777" w:rsidR="00DA2276" w:rsidRDefault="008E598B">
            <w:pPr>
              <w:jc w:val="both"/>
            </w:pPr>
            <w:r>
              <w:rPr>
                <w:rFonts w:cs="Times New Roman"/>
                <w:color w:val="000000"/>
                <w:sz w:val="24"/>
                <w:szCs w:val="24"/>
              </w:rPr>
              <w:t>Макроэкономические</w:t>
            </w:r>
          </w:p>
        </w:tc>
        <w:tc>
          <w:tcPr>
            <w:tcW w:w="3118" w:type="dxa"/>
            <w:tcBorders>
              <w:top w:val="single" w:sz="4" w:space="0" w:color="000000"/>
              <w:left w:val="single" w:sz="4" w:space="0" w:color="000000"/>
              <w:bottom w:val="single" w:sz="4" w:space="0" w:color="000000"/>
              <w:right w:val="single" w:sz="4" w:space="0" w:color="000000"/>
            </w:tcBorders>
          </w:tcPr>
          <w:p w14:paraId="7CBF21F5" w14:textId="77777777" w:rsidR="00DA2276" w:rsidRDefault="008E598B">
            <w:pPr>
              <w:jc w:val="both"/>
            </w:pPr>
            <w:r>
              <w:rPr>
                <w:rFonts w:cs="Times New Roman"/>
                <w:color w:val="000000"/>
                <w:sz w:val="24"/>
                <w:szCs w:val="24"/>
              </w:rPr>
              <w:t>Снижение</w:t>
            </w:r>
          </w:p>
        </w:tc>
        <w:tc>
          <w:tcPr>
            <w:tcW w:w="3119" w:type="dxa"/>
            <w:tcBorders>
              <w:top w:val="single" w:sz="4" w:space="0" w:color="000000"/>
              <w:left w:val="single" w:sz="4" w:space="0" w:color="000000"/>
              <w:bottom w:val="single" w:sz="4" w:space="0" w:color="000000"/>
              <w:right w:val="single" w:sz="4" w:space="0" w:color="000000"/>
            </w:tcBorders>
          </w:tcPr>
          <w:p w14:paraId="4B86A72B" w14:textId="77777777" w:rsidR="00DA2276" w:rsidRDefault="008E598B">
            <w:pPr>
              <w:jc w:val="both"/>
            </w:pPr>
            <w:r>
              <w:rPr>
                <w:rFonts w:cs="Times New Roman"/>
                <w:color w:val="000000"/>
                <w:sz w:val="24"/>
                <w:szCs w:val="24"/>
              </w:rPr>
              <w:t>Диверсификация экономики; программы импортозамещения; создание резервного фонда субъекта</w:t>
            </w:r>
          </w:p>
        </w:tc>
      </w:tr>
      <w:tr w:rsidR="00DA2276" w14:paraId="778D13B7" w14:textId="77777777">
        <w:tc>
          <w:tcPr>
            <w:tcW w:w="3118" w:type="dxa"/>
            <w:tcBorders>
              <w:top w:val="single" w:sz="4" w:space="0" w:color="000000"/>
              <w:left w:val="single" w:sz="4" w:space="0" w:color="000000"/>
              <w:bottom w:val="single" w:sz="4" w:space="0" w:color="000000"/>
              <w:right w:val="single" w:sz="4" w:space="0" w:color="000000"/>
            </w:tcBorders>
          </w:tcPr>
          <w:p w14:paraId="1E551263" w14:textId="77777777" w:rsidR="00DA2276" w:rsidRDefault="008E598B">
            <w:pPr>
              <w:jc w:val="both"/>
            </w:pPr>
            <w:r>
              <w:rPr>
                <w:rFonts w:cs="Times New Roman"/>
                <w:color w:val="000000"/>
                <w:sz w:val="24"/>
                <w:szCs w:val="24"/>
              </w:rPr>
              <w:t>Финансово-бюджетные</w:t>
            </w:r>
          </w:p>
        </w:tc>
        <w:tc>
          <w:tcPr>
            <w:tcW w:w="3118" w:type="dxa"/>
            <w:tcBorders>
              <w:top w:val="single" w:sz="4" w:space="0" w:color="000000"/>
              <w:left w:val="single" w:sz="4" w:space="0" w:color="000000"/>
              <w:bottom w:val="single" w:sz="4" w:space="0" w:color="000000"/>
              <w:right w:val="single" w:sz="4" w:space="0" w:color="000000"/>
            </w:tcBorders>
          </w:tcPr>
          <w:p w14:paraId="40AF0F3F" w14:textId="77777777" w:rsidR="00DA2276" w:rsidRDefault="008E598B">
            <w:pPr>
              <w:jc w:val="both"/>
            </w:pPr>
            <w:r>
              <w:rPr>
                <w:rFonts w:cs="Times New Roman"/>
                <w:color w:val="000000"/>
                <w:sz w:val="24"/>
                <w:szCs w:val="24"/>
              </w:rPr>
              <w:t>Снижение / Принятие</w:t>
            </w:r>
          </w:p>
        </w:tc>
        <w:tc>
          <w:tcPr>
            <w:tcW w:w="3119" w:type="dxa"/>
            <w:tcBorders>
              <w:top w:val="single" w:sz="4" w:space="0" w:color="000000"/>
              <w:left w:val="single" w:sz="4" w:space="0" w:color="000000"/>
              <w:bottom w:val="single" w:sz="4" w:space="0" w:color="000000"/>
              <w:right w:val="single" w:sz="4" w:space="0" w:color="000000"/>
            </w:tcBorders>
          </w:tcPr>
          <w:p w14:paraId="16E8AEF8" w14:textId="77777777" w:rsidR="00DA2276" w:rsidRDefault="008E598B">
            <w:pPr>
              <w:jc w:val="both"/>
            </w:pPr>
            <w:r>
              <w:rPr>
                <w:rFonts w:cs="Times New Roman"/>
                <w:color w:val="000000"/>
                <w:sz w:val="24"/>
                <w:szCs w:val="24"/>
              </w:rPr>
              <w:t>Резервный фонд (не менее 5% расходов); оптимизация структуры расходов; привлечение федеральных трансфертов</w:t>
            </w:r>
          </w:p>
        </w:tc>
      </w:tr>
      <w:tr w:rsidR="00DA2276" w14:paraId="75E59580" w14:textId="77777777">
        <w:tc>
          <w:tcPr>
            <w:tcW w:w="3118" w:type="dxa"/>
            <w:tcBorders>
              <w:top w:val="single" w:sz="4" w:space="0" w:color="000000"/>
              <w:left w:val="single" w:sz="4" w:space="0" w:color="000000"/>
              <w:bottom w:val="single" w:sz="4" w:space="0" w:color="000000"/>
              <w:right w:val="single" w:sz="4" w:space="0" w:color="000000"/>
            </w:tcBorders>
          </w:tcPr>
          <w:p w14:paraId="7A3A5973" w14:textId="77777777" w:rsidR="00DA2276" w:rsidRDefault="008E598B">
            <w:pPr>
              <w:jc w:val="both"/>
            </w:pPr>
            <w:r>
              <w:rPr>
                <w:rFonts w:cs="Times New Roman"/>
                <w:color w:val="000000"/>
                <w:sz w:val="24"/>
                <w:szCs w:val="24"/>
              </w:rPr>
              <w:t>Инвестиционные</w:t>
            </w:r>
          </w:p>
        </w:tc>
        <w:tc>
          <w:tcPr>
            <w:tcW w:w="3118" w:type="dxa"/>
            <w:tcBorders>
              <w:top w:val="single" w:sz="4" w:space="0" w:color="000000"/>
              <w:left w:val="single" w:sz="4" w:space="0" w:color="000000"/>
              <w:bottom w:val="single" w:sz="4" w:space="0" w:color="000000"/>
              <w:right w:val="single" w:sz="4" w:space="0" w:color="000000"/>
            </w:tcBorders>
          </w:tcPr>
          <w:p w14:paraId="2B86884A" w14:textId="77777777" w:rsidR="00DA2276" w:rsidRDefault="008E598B">
            <w:pPr>
              <w:jc w:val="both"/>
            </w:pPr>
            <w:r>
              <w:rPr>
                <w:rFonts w:cs="Times New Roman"/>
                <w:color w:val="000000"/>
                <w:sz w:val="24"/>
                <w:szCs w:val="24"/>
              </w:rPr>
              <w:t>Передача / Снижение</w:t>
            </w:r>
          </w:p>
        </w:tc>
        <w:tc>
          <w:tcPr>
            <w:tcW w:w="3119" w:type="dxa"/>
            <w:tcBorders>
              <w:top w:val="single" w:sz="4" w:space="0" w:color="000000"/>
              <w:left w:val="single" w:sz="4" w:space="0" w:color="000000"/>
              <w:bottom w:val="single" w:sz="4" w:space="0" w:color="000000"/>
              <w:right w:val="single" w:sz="4" w:space="0" w:color="000000"/>
            </w:tcBorders>
          </w:tcPr>
          <w:p w14:paraId="63274DEE" w14:textId="77777777" w:rsidR="00DA2276" w:rsidRDefault="008E598B">
            <w:pPr>
              <w:jc w:val="both"/>
            </w:pPr>
            <w:r>
              <w:rPr>
                <w:rFonts w:cs="Times New Roman"/>
                <w:color w:val="000000"/>
                <w:sz w:val="24"/>
                <w:szCs w:val="24"/>
              </w:rPr>
              <w:t>Механизмы ГЧП; региональный гарантийный фонд для МСП; налоговые льготы в приоритетных отраслях</w:t>
            </w:r>
          </w:p>
        </w:tc>
      </w:tr>
      <w:tr w:rsidR="00DA2276" w14:paraId="096FBBA4" w14:textId="77777777">
        <w:tc>
          <w:tcPr>
            <w:tcW w:w="3118" w:type="dxa"/>
            <w:tcBorders>
              <w:top w:val="single" w:sz="4" w:space="0" w:color="000000"/>
              <w:left w:val="single" w:sz="4" w:space="0" w:color="000000"/>
              <w:bottom w:val="single" w:sz="4" w:space="0" w:color="000000"/>
              <w:right w:val="single" w:sz="4" w:space="0" w:color="000000"/>
            </w:tcBorders>
          </w:tcPr>
          <w:p w14:paraId="03A53AE0" w14:textId="77777777" w:rsidR="00DA2276" w:rsidRDefault="008E598B">
            <w:pPr>
              <w:jc w:val="both"/>
            </w:pPr>
            <w:r>
              <w:rPr>
                <w:rFonts w:cs="Times New Roman"/>
                <w:color w:val="000000"/>
                <w:sz w:val="24"/>
                <w:szCs w:val="24"/>
              </w:rPr>
              <w:t>Производственно-технологические</w:t>
            </w:r>
          </w:p>
        </w:tc>
        <w:tc>
          <w:tcPr>
            <w:tcW w:w="3118" w:type="dxa"/>
            <w:tcBorders>
              <w:top w:val="single" w:sz="4" w:space="0" w:color="000000"/>
              <w:left w:val="single" w:sz="4" w:space="0" w:color="000000"/>
              <w:bottom w:val="single" w:sz="4" w:space="0" w:color="000000"/>
              <w:right w:val="single" w:sz="4" w:space="0" w:color="000000"/>
            </w:tcBorders>
          </w:tcPr>
          <w:p w14:paraId="74D06216" w14:textId="77777777" w:rsidR="00DA2276" w:rsidRDefault="008E598B">
            <w:pPr>
              <w:jc w:val="both"/>
            </w:pPr>
            <w:r>
              <w:rPr>
                <w:rFonts w:cs="Times New Roman"/>
                <w:color w:val="000000"/>
                <w:sz w:val="24"/>
                <w:szCs w:val="24"/>
              </w:rPr>
              <w:t>Снижение</w:t>
            </w:r>
          </w:p>
        </w:tc>
        <w:tc>
          <w:tcPr>
            <w:tcW w:w="3119" w:type="dxa"/>
            <w:tcBorders>
              <w:top w:val="single" w:sz="4" w:space="0" w:color="000000"/>
              <w:left w:val="single" w:sz="4" w:space="0" w:color="000000"/>
              <w:bottom w:val="single" w:sz="4" w:space="0" w:color="000000"/>
              <w:right w:val="single" w:sz="4" w:space="0" w:color="000000"/>
            </w:tcBorders>
          </w:tcPr>
          <w:p w14:paraId="794FE777" w14:textId="77777777" w:rsidR="00DA2276" w:rsidRDefault="008E598B">
            <w:pPr>
              <w:jc w:val="both"/>
            </w:pPr>
            <w:r>
              <w:rPr>
                <w:rFonts w:cs="Times New Roman"/>
                <w:color w:val="000000"/>
                <w:sz w:val="24"/>
                <w:szCs w:val="24"/>
              </w:rPr>
              <w:t>Субсидии на модернизацию оборудования; программы технологического обновления; поддержка НИОКР</w:t>
            </w:r>
          </w:p>
        </w:tc>
      </w:tr>
      <w:tr w:rsidR="00DA2276" w14:paraId="53738AFB" w14:textId="77777777">
        <w:tc>
          <w:tcPr>
            <w:tcW w:w="3118" w:type="dxa"/>
            <w:tcBorders>
              <w:top w:val="single" w:sz="4" w:space="0" w:color="000000"/>
              <w:left w:val="single" w:sz="4" w:space="0" w:color="000000"/>
              <w:bottom w:val="single" w:sz="4" w:space="0" w:color="000000"/>
              <w:right w:val="single" w:sz="4" w:space="0" w:color="000000"/>
            </w:tcBorders>
          </w:tcPr>
          <w:p w14:paraId="1E7E3C5A" w14:textId="77777777" w:rsidR="00DA2276" w:rsidRDefault="008E598B">
            <w:pPr>
              <w:jc w:val="both"/>
            </w:pPr>
            <w:r>
              <w:rPr>
                <w:rFonts w:cs="Times New Roman"/>
                <w:color w:val="000000"/>
                <w:sz w:val="24"/>
                <w:szCs w:val="24"/>
              </w:rPr>
              <w:t>Социально-демографические</w:t>
            </w:r>
          </w:p>
        </w:tc>
        <w:tc>
          <w:tcPr>
            <w:tcW w:w="3118" w:type="dxa"/>
            <w:tcBorders>
              <w:top w:val="single" w:sz="4" w:space="0" w:color="000000"/>
              <w:left w:val="single" w:sz="4" w:space="0" w:color="000000"/>
              <w:bottom w:val="single" w:sz="4" w:space="0" w:color="000000"/>
              <w:right w:val="single" w:sz="4" w:space="0" w:color="000000"/>
            </w:tcBorders>
          </w:tcPr>
          <w:p w14:paraId="6BDDFDE4" w14:textId="77777777" w:rsidR="00DA2276" w:rsidRDefault="008E598B">
            <w:pPr>
              <w:jc w:val="both"/>
            </w:pPr>
            <w:r>
              <w:rPr>
                <w:rFonts w:cs="Times New Roman"/>
                <w:color w:val="000000"/>
                <w:sz w:val="24"/>
                <w:szCs w:val="24"/>
              </w:rPr>
              <w:t>Снижение / Принятие</w:t>
            </w:r>
          </w:p>
        </w:tc>
        <w:tc>
          <w:tcPr>
            <w:tcW w:w="3119" w:type="dxa"/>
            <w:tcBorders>
              <w:top w:val="single" w:sz="4" w:space="0" w:color="000000"/>
              <w:left w:val="single" w:sz="4" w:space="0" w:color="000000"/>
              <w:bottom w:val="single" w:sz="4" w:space="0" w:color="000000"/>
              <w:right w:val="single" w:sz="4" w:space="0" w:color="000000"/>
            </w:tcBorders>
          </w:tcPr>
          <w:p w14:paraId="3E6212AF" w14:textId="77777777" w:rsidR="00DA2276" w:rsidRDefault="008E598B">
            <w:pPr>
              <w:jc w:val="both"/>
            </w:pPr>
            <w:r>
              <w:rPr>
                <w:rFonts w:cs="Times New Roman"/>
                <w:color w:val="000000"/>
                <w:sz w:val="24"/>
                <w:szCs w:val="24"/>
              </w:rPr>
              <w:t>Программы занятости и переобучения; поддержка рождаемости; адресные социальные выплаты</w:t>
            </w:r>
          </w:p>
        </w:tc>
      </w:tr>
      <w:tr w:rsidR="00DA2276" w14:paraId="39BE8377" w14:textId="77777777">
        <w:tc>
          <w:tcPr>
            <w:tcW w:w="3118" w:type="dxa"/>
            <w:tcBorders>
              <w:top w:val="single" w:sz="4" w:space="0" w:color="000000"/>
              <w:left w:val="single" w:sz="4" w:space="0" w:color="000000"/>
              <w:bottom w:val="single" w:sz="4" w:space="0" w:color="000000"/>
              <w:right w:val="single" w:sz="4" w:space="0" w:color="000000"/>
            </w:tcBorders>
          </w:tcPr>
          <w:p w14:paraId="12A79CFF" w14:textId="77777777" w:rsidR="00DA2276" w:rsidRDefault="008E598B">
            <w:pPr>
              <w:jc w:val="both"/>
            </w:pPr>
            <w:r>
              <w:rPr>
                <w:rFonts w:cs="Times New Roman"/>
                <w:color w:val="000000"/>
                <w:sz w:val="24"/>
                <w:szCs w:val="24"/>
              </w:rPr>
              <w:t>Внешнеэкономические / санкционные</w:t>
            </w:r>
          </w:p>
        </w:tc>
        <w:tc>
          <w:tcPr>
            <w:tcW w:w="3118" w:type="dxa"/>
            <w:tcBorders>
              <w:top w:val="single" w:sz="4" w:space="0" w:color="000000"/>
              <w:left w:val="single" w:sz="4" w:space="0" w:color="000000"/>
              <w:bottom w:val="single" w:sz="4" w:space="0" w:color="000000"/>
              <w:right w:val="single" w:sz="4" w:space="0" w:color="000000"/>
            </w:tcBorders>
          </w:tcPr>
          <w:p w14:paraId="433EA5FF" w14:textId="77777777" w:rsidR="00DA2276" w:rsidRDefault="008E598B">
            <w:pPr>
              <w:jc w:val="both"/>
            </w:pPr>
            <w:r>
              <w:rPr>
                <w:rFonts w:cs="Times New Roman"/>
                <w:color w:val="000000"/>
                <w:sz w:val="24"/>
                <w:szCs w:val="24"/>
              </w:rPr>
              <w:t>Уклонение / Снижение</w:t>
            </w:r>
          </w:p>
        </w:tc>
        <w:tc>
          <w:tcPr>
            <w:tcW w:w="3119" w:type="dxa"/>
            <w:tcBorders>
              <w:top w:val="single" w:sz="4" w:space="0" w:color="000000"/>
              <w:left w:val="single" w:sz="4" w:space="0" w:color="000000"/>
              <w:bottom w:val="single" w:sz="4" w:space="0" w:color="000000"/>
              <w:right w:val="single" w:sz="4" w:space="0" w:color="000000"/>
            </w:tcBorders>
          </w:tcPr>
          <w:p w14:paraId="55730CCA" w14:textId="77777777" w:rsidR="00DA2276" w:rsidRDefault="008E598B">
            <w:pPr>
              <w:jc w:val="both"/>
            </w:pPr>
            <w:r>
              <w:rPr>
                <w:rFonts w:cs="Times New Roman"/>
                <w:color w:val="000000"/>
                <w:sz w:val="24"/>
                <w:szCs w:val="24"/>
              </w:rPr>
              <w:t>Переориентация экспортных потоков; развитие внутреннего рынка; содействие параллельному импорту</w:t>
            </w:r>
          </w:p>
        </w:tc>
      </w:tr>
      <w:tr w:rsidR="00DA2276" w14:paraId="1D2761D3" w14:textId="77777777">
        <w:tc>
          <w:tcPr>
            <w:tcW w:w="3118" w:type="dxa"/>
            <w:tcBorders>
              <w:top w:val="single" w:sz="4" w:space="0" w:color="000000"/>
              <w:left w:val="single" w:sz="4" w:space="0" w:color="000000"/>
              <w:bottom w:val="single" w:sz="4" w:space="0" w:color="000000"/>
              <w:right w:val="single" w:sz="4" w:space="0" w:color="000000"/>
            </w:tcBorders>
          </w:tcPr>
          <w:p w14:paraId="5CC63D27" w14:textId="77777777" w:rsidR="00DA2276" w:rsidRDefault="008E598B">
            <w:pPr>
              <w:jc w:val="both"/>
            </w:pPr>
            <w:r>
              <w:rPr>
                <w:rFonts w:cs="Times New Roman"/>
                <w:color w:val="000000"/>
                <w:sz w:val="24"/>
                <w:szCs w:val="24"/>
              </w:rPr>
              <w:lastRenderedPageBreak/>
              <w:t>Экологические</w:t>
            </w:r>
          </w:p>
        </w:tc>
        <w:tc>
          <w:tcPr>
            <w:tcW w:w="3118" w:type="dxa"/>
            <w:tcBorders>
              <w:top w:val="single" w:sz="4" w:space="0" w:color="000000"/>
              <w:left w:val="single" w:sz="4" w:space="0" w:color="000000"/>
              <w:bottom w:val="single" w:sz="4" w:space="0" w:color="000000"/>
              <w:right w:val="single" w:sz="4" w:space="0" w:color="000000"/>
            </w:tcBorders>
          </w:tcPr>
          <w:p w14:paraId="3C24E19A" w14:textId="77777777" w:rsidR="00DA2276" w:rsidRDefault="008E598B">
            <w:pPr>
              <w:jc w:val="both"/>
            </w:pPr>
            <w:r>
              <w:rPr>
                <w:rFonts w:cs="Times New Roman"/>
                <w:color w:val="000000"/>
                <w:sz w:val="24"/>
                <w:szCs w:val="24"/>
              </w:rPr>
              <w:t>Снижение / Передача</w:t>
            </w:r>
          </w:p>
        </w:tc>
        <w:tc>
          <w:tcPr>
            <w:tcW w:w="3119" w:type="dxa"/>
            <w:tcBorders>
              <w:top w:val="single" w:sz="4" w:space="0" w:color="000000"/>
              <w:left w:val="single" w:sz="4" w:space="0" w:color="000000"/>
              <w:bottom w:val="single" w:sz="4" w:space="0" w:color="000000"/>
              <w:right w:val="single" w:sz="4" w:space="0" w:color="000000"/>
            </w:tcBorders>
          </w:tcPr>
          <w:p w14:paraId="6DEFA204" w14:textId="77777777" w:rsidR="00DA2276" w:rsidRDefault="008E598B">
            <w:pPr>
              <w:jc w:val="both"/>
            </w:pPr>
            <w:r>
              <w:rPr>
                <w:rFonts w:cs="Times New Roman"/>
                <w:color w:val="000000"/>
                <w:sz w:val="24"/>
                <w:szCs w:val="24"/>
              </w:rPr>
              <w:t>Региональные экологические фонды; страхование ответственности предприятий; стандарты природопользования</w:t>
            </w:r>
          </w:p>
        </w:tc>
      </w:tr>
      <w:tr w:rsidR="00DA2276" w14:paraId="2FD6693D" w14:textId="77777777">
        <w:tc>
          <w:tcPr>
            <w:tcW w:w="3118" w:type="dxa"/>
            <w:tcBorders>
              <w:top w:val="single" w:sz="4" w:space="0" w:color="000000"/>
              <w:left w:val="single" w:sz="4" w:space="0" w:color="000000"/>
              <w:bottom w:val="single" w:sz="4" w:space="0" w:color="000000"/>
              <w:right w:val="single" w:sz="4" w:space="0" w:color="000000"/>
            </w:tcBorders>
          </w:tcPr>
          <w:p w14:paraId="0AE0A490" w14:textId="77777777" w:rsidR="00DA2276" w:rsidRDefault="008E598B">
            <w:pPr>
              <w:jc w:val="both"/>
            </w:pPr>
            <w:r>
              <w:rPr>
                <w:rFonts w:cs="Times New Roman"/>
                <w:color w:val="000000"/>
                <w:sz w:val="24"/>
                <w:szCs w:val="24"/>
              </w:rPr>
              <w:t>Институционально-управленческие</w:t>
            </w:r>
          </w:p>
        </w:tc>
        <w:tc>
          <w:tcPr>
            <w:tcW w:w="3118" w:type="dxa"/>
            <w:tcBorders>
              <w:top w:val="single" w:sz="4" w:space="0" w:color="000000"/>
              <w:left w:val="single" w:sz="4" w:space="0" w:color="000000"/>
              <w:bottom w:val="single" w:sz="4" w:space="0" w:color="000000"/>
              <w:right w:val="single" w:sz="4" w:space="0" w:color="000000"/>
            </w:tcBorders>
          </w:tcPr>
          <w:p w14:paraId="6715D1AC" w14:textId="77777777" w:rsidR="00DA2276" w:rsidRDefault="008E598B">
            <w:pPr>
              <w:jc w:val="both"/>
            </w:pPr>
            <w:r>
              <w:rPr>
                <w:rFonts w:cs="Times New Roman"/>
                <w:color w:val="000000"/>
                <w:sz w:val="24"/>
                <w:szCs w:val="24"/>
              </w:rPr>
              <w:t>Снижение</w:t>
            </w:r>
          </w:p>
        </w:tc>
        <w:tc>
          <w:tcPr>
            <w:tcW w:w="3119" w:type="dxa"/>
            <w:tcBorders>
              <w:top w:val="single" w:sz="4" w:space="0" w:color="000000"/>
              <w:left w:val="single" w:sz="4" w:space="0" w:color="000000"/>
              <w:bottom w:val="single" w:sz="4" w:space="0" w:color="000000"/>
              <w:right w:val="single" w:sz="4" w:space="0" w:color="000000"/>
            </w:tcBorders>
          </w:tcPr>
          <w:p w14:paraId="4B199783" w14:textId="77777777" w:rsidR="00DA2276" w:rsidRDefault="008E598B">
            <w:pPr>
              <w:jc w:val="both"/>
            </w:pPr>
            <w:r>
              <w:rPr>
                <w:rFonts w:cs="Times New Roman"/>
                <w:color w:val="000000"/>
                <w:sz w:val="24"/>
                <w:szCs w:val="24"/>
              </w:rPr>
              <w:t>Антикоррупционный мониторинг; цифровизация госуправления; повышение квалификации госслужащих</w:t>
            </w:r>
          </w:p>
        </w:tc>
      </w:tr>
    </w:tbl>
    <w:p w14:paraId="4F900B2C" w14:textId="77777777" w:rsidR="00DA2276" w:rsidRDefault="008E598B">
      <w:pPr>
        <w:jc w:val="center"/>
      </w:pPr>
      <w:r>
        <w:rPr>
          <w:sz w:val="24"/>
          <w:szCs w:val="24"/>
        </w:rPr>
        <w:t>Источник: составлено автором.</w:t>
      </w:r>
    </w:p>
    <w:p w14:paraId="640971CC" w14:textId="77777777" w:rsidR="00DA2276" w:rsidRDefault="008E598B">
      <w:pPr>
        <w:pStyle w:val="1"/>
        <w:spacing w:before="240"/>
        <w:jc w:val="center"/>
      </w:pPr>
      <w:r>
        <w:rPr>
          <w:rFonts w:ascii="Times New Roman" w:hAnsi="Times New Roman" w:cs="Times New Roman"/>
          <w:color w:val="000000"/>
        </w:rPr>
        <w:t>Заключение</w:t>
      </w:r>
    </w:p>
    <w:p w14:paraId="595F7EA4" w14:textId="77777777" w:rsidR="00DA2276" w:rsidRDefault="008E598B">
      <w:pPr>
        <w:ind w:firstLine="709"/>
        <w:jc w:val="both"/>
      </w:pPr>
      <w:r>
        <w:rPr>
          <w:rFonts w:cs="Times New Roman"/>
          <w:color w:val="000000"/>
        </w:rPr>
        <w:t>По итогам проведенного исследования сформулированы следующие выводы.</w:t>
      </w:r>
    </w:p>
    <w:p w14:paraId="3F8A4A1F" w14:textId="77777777" w:rsidR="00DA2276" w:rsidRDefault="008E598B">
      <w:pPr>
        <w:ind w:firstLine="709"/>
        <w:jc w:val="both"/>
      </w:pPr>
      <w:r>
        <w:rPr>
          <w:rFonts w:cs="Times New Roman"/>
          <w:color w:val="000000"/>
        </w:rPr>
        <w:t>Экономическая безопасность региона - не статическая совокупность показателей, а динамическое системное свойство хозяйственного комплекса, характеризующее его устойчивость к внешним шокам и способность к самовоспроизводству. Управление рисками занимает в этой системе центральное место: без идентификации и оценки угроз любые превентивные меры остаются декларативными.</w:t>
      </w:r>
    </w:p>
    <w:p w14:paraId="374A5A5C" w14:textId="77777777" w:rsidR="00DA2276" w:rsidRDefault="008E598B">
      <w:pPr>
        <w:ind w:firstLine="709"/>
        <w:jc w:val="both"/>
      </w:pPr>
      <w:r>
        <w:rPr>
          <w:rFonts w:cs="Times New Roman"/>
          <w:color w:val="000000"/>
        </w:rPr>
        <w:t xml:space="preserve">Предложенная </w:t>
      </w:r>
      <w:proofErr w:type="spellStart"/>
      <w:r>
        <w:rPr>
          <w:rFonts w:cs="Times New Roman"/>
          <w:color w:val="000000"/>
        </w:rPr>
        <w:t>восьмигрупповая</w:t>
      </w:r>
      <w:proofErr w:type="spellEnd"/>
      <w:r>
        <w:rPr>
          <w:rFonts w:cs="Times New Roman"/>
          <w:color w:val="000000"/>
        </w:rPr>
        <w:t xml:space="preserve"> классификация рисков охватывает весь спектр угроз региональной экономической системе - от макроэкономических и санкционных до институционально-управленческих. Привязка каждой группы к измеримым индикаторам с пороговыми значениями создает операционную основу для принятия управленческих решений и открывает путь к переходу от качественных описаний угроз к их количественной оценке.</w:t>
      </w:r>
    </w:p>
    <w:p w14:paraId="3A793FC2" w14:textId="77777777" w:rsidR="00DA2276" w:rsidRDefault="008E598B">
      <w:pPr>
        <w:ind w:firstLine="709"/>
        <w:jc w:val="both"/>
      </w:pPr>
      <w:r>
        <w:rPr>
          <w:rFonts w:cs="Times New Roman"/>
          <w:color w:val="000000"/>
        </w:rPr>
        <w:t xml:space="preserve">Пятиэтапный механизм риск-менеджмента, методологически согласованный с принципами ГОСТ Р ИСО 31000-2019, поддерживает непрерывность управляющих воздействий и адаптивность к меняющимся условиям. Применение матрицы «вероятность - ущерб» и интегральной оценки R даёт возможность </w:t>
      </w:r>
      <w:r>
        <w:rPr>
          <w:rFonts w:cs="Times New Roman"/>
          <w:color w:val="000000"/>
        </w:rPr>
        <w:lastRenderedPageBreak/>
        <w:t>расставить приоритеты и сосредоточить ресурсы на ключевых уязвимостях, не распыляя усилия на второстепенные угрозы.</w:t>
      </w:r>
    </w:p>
    <w:p w14:paraId="588FC221" w14:textId="77777777" w:rsidR="00DA2276" w:rsidRDefault="008E598B">
      <w:pPr>
        <w:ind w:firstLine="709"/>
        <w:jc w:val="both"/>
      </w:pPr>
      <w:r>
        <w:rPr>
          <w:rFonts w:cs="Times New Roman"/>
          <w:color w:val="000000"/>
        </w:rPr>
        <w:t>Практическая значимость работы состоит в возможности встраивания предложенного механизма в действующую систему стратегического планирования субъекта РФ. Перспективы дальнейших исследований связаны с разработкой унифицированной цифровой платформы мониторинга индикаторов экономической безопасности в режиме реального времени, а также с формированием типологии регионов по риск-профилю для выработки дифференцированных рекомендаций по управлению.</w:t>
      </w:r>
    </w:p>
    <w:p w14:paraId="1E173EDD" w14:textId="77777777" w:rsidR="00DA2276" w:rsidRDefault="008E598B">
      <w:pPr>
        <w:pStyle w:val="1"/>
        <w:spacing w:before="240"/>
        <w:jc w:val="center"/>
      </w:pPr>
      <w:r>
        <w:rPr>
          <w:rFonts w:ascii="Times New Roman" w:hAnsi="Times New Roman" w:cs="Times New Roman"/>
          <w:color w:val="000000"/>
        </w:rPr>
        <w:t>Список литературы</w:t>
      </w:r>
    </w:p>
    <w:p w14:paraId="7CD353B6" w14:textId="77777777" w:rsidR="00DA2276" w:rsidRDefault="008E598B">
      <w:pPr>
        <w:spacing w:before="40"/>
        <w:jc w:val="both"/>
      </w:pPr>
      <w:r>
        <w:rPr>
          <w:rFonts w:cs="Times New Roman"/>
          <w:color w:val="000000"/>
        </w:rPr>
        <w:t>1. Указ Президента Российской Федерации от 13.05.2017 № 208 «О Стратегии экономической безопасности Российской Федерации на период до 2030 года» [Электронный ресурс] // СПС «КонсультантПлюс». - URL: http://www.consultant.ru/document/cons_doc_LAW_216629/ (дата обращения: 01.07.2026).</w:t>
      </w:r>
    </w:p>
    <w:p w14:paraId="523F6C7F" w14:textId="77777777" w:rsidR="00DA2276" w:rsidRDefault="008E598B">
      <w:pPr>
        <w:spacing w:before="40"/>
        <w:jc w:val="both"/>
      </w:pPr>
      <w:r>
        <w:rPr>
          <w:rFonts w:cs="Times New Roman"/>
          <w:color w:val="000000"/>
        </w:rPr>
        <w:t>2. Федеральный закон от 28.12.2010 № 390-ФЗ «О безопасности» [Электронный ресурс] // СПС «КонсультантПлюс». - URL: http://www.consultant.ru/document/cons_doc_LAW_108546/ (дата обращения: 01.07.2026).</w:t>
      </w:r>
    </w:p>
    <w:p w14:paraId="663215E2" w14:textId="77777777" w:rsidR="00DA2276" w:rsidRDefault="008E598B">
      <w:pPr>
        <w:spacing w:before="40"/>
        <w:jc w:val="both"/>
      </w:pPr>
      <w:r>
        <w:rPr>
          <w:rFonts w:cs="Times New Roman"/>
          <w:color w:val="000000"/>
        </w:rPr>
        <w:t xml:space="preserve">3. ГОСТ Р ИСО 31000-2019. Менеджмент риска. Принципы и руководство. - Москва : </w:t>
      </w:r>
      <w:proofErr w:type="spellStart"/>
      <w:r>
        <w:rPr>
          <w:rFonts w:cs="Times New Roman"/>
          <w:color w:val="000000"/>
        </w:rPr>
        <w:t>Стандартинформ</w:t>
      </w:r>
      <w:proofErr w:type="spellEnd"/>
      <w:r>
        <w:rPr>
          <w:rFonts w:cs="Times New Roman"/>
          <w:color w:val="000000"/>
        </w:rPr>
        <w:t>, 2020. - 20 с.</w:t>
      </w:r>
    </w:p>
    <w:p w14:paraId="2A7E5F76" w14:textId="77777777" w:rsidR="00DA2276" w:rsidRDefault="008E598B">
      <w:pPr>
        <w:spacing w:before="40"/>
        <w:jc w:val="both"/>
      </w:pPr>
      <w:r>
        <w:rPr>
          <w:rFonts w:cs="Times New Roman"/>
          <w:color w:val="000000"/>
        </w:rPr>
        <w:t xml:space="preserve">4. ГОСТ Р 51897-2011. Менеджмент риска. Термины и определения. - Москва : </w:t>
      </w:r>
      <w:proofErr w:type="spellStart"/>
      <w:r>
        <w:rPr>
          <w:rFonts w:cs="Times New Roman"/>
          <w:color w:val="000000"/>
        </w:rPr>
        <w:t>Стандартинформ</w:t>
      </w:r>
      <w:proofErr w:type="spellEnd"/>
      <w:r>
        <w:rPr>
          <w:rFonts w:cs="Times New Roman"/>
          <w:color w:val="000000"/>
        </w:rPr>
        <w:t>, 2012. - 16 с.</w:t>
      </w:r>
    </w:p>
    <w:p w14:paraId="4D20FBF9" w14:textId="77777777" w:rsidR="00DA2276" w:rsidRDefault="008E598B">
      <w:pPr>
        <w:spacing w:before="40"/>
        <w:jc w:val="both"/>
      </w:pPr>
      <w:r>
        <w:rPr>
          <w:rFonts w:cs="Times New Roman"/>
          <w:color w:val="000000"/>
        </w:rPr>
        <w:t>5. Абалкин Л. И. Экономическая безопасность России: угрозы и их отражение // Вопросы экономики. - 1994. - № 12. - С. 4–13.</w:t>
      </w:r>
    </w:p>
    <w:p w14:paraId="056F4B97" w14:textId="77777777" w:rsidR="00DA2276" w:rsidRDefault="008E598B">
      <w:pPr>
        <w:spacing w:before="40"/>
        <w:jc w:val="both"/>
      </w:pPr>
      <w:r>
        <w:rPr>
          <w:rFonts w:cs="Times New Roman"/>
          <w:color w:val="000000"/>
        </w:rPr>
        <w:t xml:space="preserve">6. Глазьев С. Ю. Оценка предельно критических значений показателей состояния российского общества и их использование в управлении социально-экономическим </w:t>
      </w:r>
      <w:r>
        <w:rPr>
          <w:rFonts w:cs="Times New Roman"/>
          <w:color w:val="000000"/>
        </w:rPr>
        <w:lastRenderedPageBreak/>
        <w:t xml:space="preserve">развитием / С. Ю. Глазьев, В. В. </w:t>
      </w:r>
      <w:proofErr w:type="spellStart"/>
      <w:r>
        <w:rPr>
          <w:rFonts w:cs="Times New Roman"/>
          <w:color w:val="000000"/>
        </w:rPr>
        <w:t>Локосов</w:t>
      </w:r>
      <w:proofErr w:type="spellEnd"/>
      <w:r>
        <w:rPr>
          <w:rFonts w:cs="Times New Roman"/>
          <w:color w:val="000000"/>
        </w:rPr>
        <w:t xml:space="preserve"> // Экономические и социальные перемены: факты, тенденции, прогноз. - 2012. - № 4 (22). - С. 22–41.</w:t>
      </w:r>
    </w:p>
    <w:p w14:paraId="19B381F3" w14:textId="77777777" w:rsidR="00DA2276" w:rsidRDefault="008E598B">
      <w:pPr>
        <w:spacing w:before="40"/>
        <w:jc w:val="both"/>
      </w:pPr>
      <w:r>
        <w:rPr>
          <w:rFonts w:cs="Times New Roman"/>
          <w:color w:val="000000"/>
        </w:rPr>
        <w:t xml:space="preserve">7. Криворотов В. В. Экономическая безопасность государства и регионов : учеб. пособие / В. В. Криворотов, А. В. Калина, Н. Д. </w:t>
      </w:r>
      <w:proofErr w:type="spellStart"/>
      <w:r>
        <w:rPr>
          <w:rFonts w:cs="Times New Roman"/>
          <w:color w:val="000000"/>
        </w:rPr>
        <w:t>Эриашвили</w:t>
      </w:r>
      <w:proofErr w:type="spellEnd"/>
      <w:r>
        <w:rPr>
          <w:rFonts w:cs="Times New Roman"/>
          <w:color w:val="000000"/>
        </w:rPr>
        <w:t xml:space="preserve">. - </w:t>
      </w:r>
      <w:proofErr w:type="gramStart"/>
      <w:r>
        <w:rPr>
          <w:rFonts w:cs="Times New Roman"/>
          <w:color w:val="000000"/>
        </w:rPr>
        <w:t>Москва :</w:t>
      </w:r>
      <w:proofErr w:type="gramEnd"/>
      <w:r>
        <w:rPr>
          <w:rFonts w:cs="Times New Roman"/>
          <w:color w:val="000000"/>
        </w:rPr>
        <w:t xml:space="preserve"> ЮНИТИ-ДАНА, 2012. - 351 с.</w:t>
      </w:r>
    </w:p>
    <w:p w14:paraId="168D138F" w14:textId="77777777" w:rsidR="00DA2276" w:rsidRDefault="008E598B">
      <w:pPr>
        <w:spacing w:before="40"/>
        <w:jc w:val="both"/>
      </w:pPr>
      <w:r>
        <w:rPr>
          <w:rFonts w:cs="Times New Roman"/>
          <w:color w:val="000000"/>
        </w:rPr>
        <w:t>8. Левкина Е. В. Оценка экономической безопасности региона (на примере Приморского края) / Е. В. Левкина, Л. А. Сахарова // Экономика, предпринимательство и право. - 2022. - № 9. - С. 2441–2458 [Электронный ресурс]. - URL: https://1economic.ru/lib/116259 (дата обращения: 01.07.2026).</w:t>
      </w:r>
    </w:p>
    <w:p w14:paraId="3D3404FB" w14:textId="77777777" w:rsidR="00DA2276" w:rsidRDefault="008E598B">
      <w:pPr>
        <w:spacing w:before="40"/>
        <w:jc w:val="both"/>
      </w:pPr>
      <w:r>
        <w:rPr>
          <w:rFonts w:cs="Times New Roman"/>
          <w:color w:val="000000"/>
        </w:rPr>
        <w:t>9. Миллер А. Е. Риски и угрозы устойчивости региональной экономики в условиях современных вызовов // Экономическая безопасность. - 2024. - № 10 [Электронный ресурс]. - URL: https://1economic.ru/lib/121915 (дата обращения: 01.07.2026).</w:t>
      </w:r>
    </w:p>
    <w:p w14:paraId="0FAFD539" w14:textId="77777777" w:rsidR="00DA2276" w:rsidRDefault="008E598B">
      <w:pPr>
        <w:spacing w:before="40"/>
        <w:jc w:val="both"/>
      </w:pPr>
      <w:r>
        <w:rPr>
          <w:rFonts w:cs="Times New Roman"/>
          <w:color w:val="000000"/>
        </w:rPr>
        <w:t xml:space="preserve">10. Экономическая безопасность России: общий </w:t>
      </w:r>
      <w:proofErr w:type="gramStart"/>
      <w:r>
        <w:rPr>
          <w:rFonts w:cs="Times New Roman"/>
          <w:color w:val="000000"/>
        </w:rPr>
        <w:t>курс :</w:t>
      </w:r>
      <w:proofErr w:type="gramEnd"/>
      <w:r>
        <w:rPr>
          <w:rFonts w:cs="Times New Roman"/>
          <w:color w:val="000000"/>
        </w:rPr>
        <w:t xml:space="preserve"> учебник / [В. К. </w:t>
      </w:r>
      <w:proofErr w:type="spellStart"/>
      <w:r>
        <w:rPr>
          <w:rFonts w:cs="Times New Roman"/>
          <w:color w:val="000000"/>
        </w:rPr>
        <w:t>Сенчагов</w:t>
      </w:r>
      <w:proofErr w:type="spellEnd"/>
      <w:r>
        <w:rPr>
          <w:rFonts w:cs="Times New Roman"/>
          <w:color w:val="000000"/>
        </w:rPr>
        <w:t xml:space="preserve"> и др.</w:t>
      </w:r>
      <w:proofErr w:type="gramStart"/>
      <w:r>
        <w:rPr>
          <w:rFonts w:cs="Times New Roman"/>
          <w:color w:val="000000"/>
        </w:rPr>
        <w:t>] ;</w:t>
      </w:r>
      <w:proofErr w:type="gramEnd"/>
      <w:r>
        <w:rPr>
          <w:rFonts w:cs="Times New Roman"/>
          <w:color w:val="000000"/>
        </w:rPr>
        <w:t xml:space="preserve"> под ред. В. К. </w:t>
      </w:r>
      <w:proofErr w:type="spellStart"/>
      <w:r>
        <w:rPr>
          <w:rFonts w:cs="Times New Roman"/>
          <w:color w:val="000000"/>
        </w:rPr>
        <w:t>Сенчагова</w:t>
      </w:r>
      <w:proofErr w:type="spellEnd"/>
      <w:r>
        <w:rPr>
          <w:rFonts w:cs="Times New Roman"/>
          <w:color w:val="000000"/>
        </w:rPr>
        <w:t xml:space="preserve">. - 6-е изд. - </w:t>
      </w:r>
      <w:proofErr w:type="gramStart"/>
      <w:r>
        <w:rPr>
          <w:rFonts w:cs="Times New Roman"/>
          <w:color w:val="000000"/>
        </w:rPr>
        <w:t>Москва :</w:t>
      </w:r>
      <w:proofErr w:type="gramEnd"/>
      <w:r>
        <w:rPr>
          <w:rFonts w:cs="Times New Roman"/>
          <w:color w:val="000000"/>
        </w:rPr>
        <w:t xml:space="preserve"> Лаборатория знаний, 2020. - 818 с. - ISBN 978-5-00101-840-7.</w:t>
      </w:r>
    </w:p>
    <w:p w14:paraId="67939C7C" w14:textId="77777777" w:rsidR="00DA2276" w:rsidRDefault="008E598B">
      <w:pPr>
        <w:spacing w:before="40"/>
        <w:jc w:val="both"/>
      </w:pPr>
      <w:r>
        <w:rPr>
          <w:rFonts w:cs="Times New Roman"/>
          <w:color w:val="000000"/>
        </w:rPr>
        <w:t>11. Столярова А. Н. Угрозы экономической безопасности региона / А. Н. Столярова, Л. В. Шамрай-Курбатова // Экономика, предпринимательство и право. - 2023. - № 10. - С. 3065–3080 [Электронный ресурс]. - URL: https://1economic.ru/lib/119108 (дата обращения: 01.07.2026).</w:t>
      </w:r>
    </w:p>
    <w:p w14:paraId="24E72467" w14:textId="77777777" w:rsidR="00DA2276" w:rsidRDefault="008E598B">
      <w:pPr>
        <w:spacing w:before="40"/>
        <w:jc w:val="both"/>
      </w:pPr>
      <w:r>
        <w:rPr>
          <w:rFonts w:cs="Times New Roman"/>
          <w:color w:val="000000"/>
        </w:rPr>
        <w:t>12. Татаркин А. И. Изменение парадигмы исследований экономической безопасности региона / А. И. Татаркин, А. А. Куклин // Экономика региона. - 2012. - № 2. - С. 25–39.</w:t>
      </w:r>
    </w:p>
    <w:p w14:paraId="526C57B6" w14:textId="77777777" w:rsidR="00DA2276" w:rsidRDefault="008E598B">
      <w:pPr>
        <w:spacing w:before="40"/>
        <w:jc w:val="both"/>
      </w:pPr>
      <w:r>
        <w:rPr>
          <w:rFonts w:cs="Times New Roman"/>
          <w:color w:val="000000"/>
        </w:rPr>
        <w:t xml:space="preserve">13. </w:t>
      </w:r>
      <w:proofErr w:type="spellStart"/>
      <w:r>
        <w:rPr>
          <w:rFonts w:cs="Times New Roman"/>
          <w:color w:val="000000"/>
        </w:rPr>
        <w:t>Тохиров</w:t>
      </w:r>
      <w:proofErr w:type="spellEnd"/>
      <w:r>
        <w:rPr>
          <w:rFonts w:cs="Times New Roman"/>
          <w:color w:val="000000"/>
        </w:rPr>
        <w:t xml:space="preserve"> Т. И. Управление экономической безопасностью региона // Экономика, предпринимательство и право. - 2013. - № 2. - С. 19–26 [Электронный ресурс]. - URL: https://1economic.ru/lib/8910 (дата обращения: 01.07.2026).</w:t>
      </w:r>
    </w:p>
    <w:p w14:paraId="216DC839" w14:textId="77777777" w:rsidR="00DA2276" w:rsidRPr="00253D46" w:rsidRDefault="008E598B">
      <w:pPr>
        <w:spacing w:before="240"/>
        <w:jc w:val="both"/>
        <w:rPr>
          <w:lang w:val="en-US"/>
        </w:rPr>
      </w:pPr>
      <w:r w:rsidRPr="00253D46">
        <w:rPr>
          <w:rFonts w:cs="Times New Roman"/>
          <w:b/>
          <w:color w:val="000000"/>
          <w:lang w:val="en-US"/>
        </w:rPr>
        <w:t>References</w:t>
      </w:r>
    </w:p>
    <w:p w14:paraId="0BA6E3CA" w14:textId="77777777" w:rsidR="00DA2276" w:rsidRPr="00253D46" w:rsidRDefault="008E598B">
      <w:pPr>
        <w:spacing w:before="40"/>
        <w:jc w:val="both"/>
        <w:rPr>
          <w:lang w:val="en-US"/>
        </w:rPr>
      </w:pPr>
      <w:r w:rsidRPr="00253D46">
        <w:rPr>
          <w:rFonts w:cs="Times New Roman"/>
          <w:color w:val="000000"/>
          <w:lang w:val="en-US"/>
        </w:rPr>
        <w:lastRenderedPageBreak/>
        <w:t xml:space="preserve">1. </w:t>
      </w:r>
      <w:proofErr w:type="spellStart"/>
      <w:r w:rsidRPr="00253D46">
        <w:rPr>
          <w:rFonts w:cs="Times New Roman"/>
          <w:color w:val="000000"/>
          <w:lang w:val="en-US"/>
        </w:rPr>
        <w:t>Ukaz</w:t>
      </w:r>
      <w:proofErr w:type="spellEnd"/>
      <w:r w:rsidRPr="00253D46">
        <w:rPr>
          <w:rFonts w:cs="Times New Roman"/>
          <w:color w:val="000000"/>
          <w:lang w:val="en-US"/>
        </w:rPr>
        <w:t xml:space="preserve"> </w:t>
      </w:r>
      <w:proofErr w:type="spellStart"/>
      <w:r w:rsidRPr="00253D46">
        <w:rPr>
          <w:rFonts w:cs="Times New Roman"/>
          <w:color w:val="000000"/>
          <w:lang w:val="en-US"/>
        </w:rPr>
        <w:t>Prezidenta</w:t>
      </w:r>
      <w:proofErr w:type="spellEnd"/>
      <w:r w:rsidRPr="00253D46">
        <w:rPr>
          <w:rFonts w:cs="Times New Roman"/>
          <w:color w:val="000000"/>
          <w:lang w:val="en-US"/>
        </w:rPr>
        <w:t xml:space="preserve"> </w:t>
      </w:r>
      <w:proofErr w:type="spellStart"/>
      <w:r w:rsidRPr="00253D46">
        <w:rPr>
          <w:rFonts w:cs="Times New Roman"/>
          <w:color w:val="000000"/>
          <w:lang w:val="en-US"/>
        </w:rPr>
        <w:t>Rossiyskoy</w:t>
      </w:r>
      <w:proofErr w:type="spellEnd"/>
      <w:r w:rsidRPr="00253D46">
        <w:rPr>
          <w:rFonts w:cs="Times New Roman"/>
          <w:color w:val="000000"/>
          <w:lang w:val="en-US"/>
        </w:rPr>
        <w:t xml:space="preserve"> </w:t>
      </w:r>
      <w:proofErr w:type="spellStart"/>
      <w:r w:rsidRPr="00253D46">
        <w:rPr>
          <w:rFonts w:cs="Times New Roman"/>
          <w:color w:val="000000"/>
          <w:lang w:val="en-US"/>
        </w:rPr>
        <w:t>Federatsii</w:t>
      </w:r>
      <w:proofErr w:type="spellEnd"/>
      <w:r w:rsidRPr="00253D46">
        <w:rPr>
          <w:rFonts w:cs="Times New Roman"/>
          <w:color w:val="000000"/>
          <w:lang w:val="en-US"/>
        </w:rPr>
        <w:t xml:space="preserve"> </w:t>
      </w:r>
      <w:proofErr w:type="spellStart"/>
      <w:r w:rsidRPr="00253D46">
        <w:rPr>
          <w:rFonts w:cs="Times New Roman"/>
          <w:color w:val="000000"/>
          <w:lang w:val="en-US"/>
        </w:rPr>
        <w:t>ot</w:t>
      </w:r>
      <w:proofErr w:type="spellEnd"/>
      <w:r w:rsidRPr="00253D46">
        <w:rPr>
          <w:rFonts w:cs="Times New Roman"/>
          <w:color w:val="000000"/>
          <w:lang w:val="en-US"/>
        </w:rPr>
        <w:t xml:space="preserve"> 13.05.2017 No. 208 "O </w:t>
      </w:r>
      <w:proofErr w:type="spellStart"/>
      <w:r w:rsidRPr="00253D46">
        <w:rPr>
          <w:rFonts w:cs="Times New Roman"/>
          <w:color w:val="000000"/>
          <w:lang w:val="en-US"/>
        </w:rPr>
        <w:t>Strategii</w:t>
      </w:r>
      <w:proofErr w:type="spellEnd"/>
      <w:r w:rsidRPr="00253D46">
        <w:rPr>
          <w:rFonts w:cs="Times New Roman"/>
          <w:color w:val="000000"/>
          <w:lang w:val="en-US"/>
        </w:rPr>
        <w:t xml:space="preserve"> </w:t>
      </w:r>
      <w:proofErr w:type="spellStart"/>
      <w:r w:rsidRPr="00253D46">
        <w:rPr>
          <w:rFonts w:cs="Times New Roman"/>
          <w:color w:val="000000"/>
          <w:lang w:val="en-US"/>
        </w:rPr>
        <w:t>ekonomicheskoy</w:t>
      </w:r>
      <w:proofErr w:type="spellEnd"/>
      <w:r w:rsidRPr="00253D46">
        <w:rPr>
          <w:rFonts w:cs="Times New Roman"/>
          <w:color w:val="000000"/>
          <w:lang w:val="en-US"/>
        </w:rPr>
        <w:t xml:space="preserve"> </w:t>
      </w:r>
      <w:proofErr w:type="spellStart"/>
      <w:r w:rsidRPr="00253D46">
        <w:rPr>
          <w:rFonts w:cs="Times New Roman"/>
          <w:color w:val="000000"/>
          <w:lang w:val="en-US"/>
        </w:rPr>
        <w:t>bezopasnosti</w:t>
      </w:r>
      <w:proofErr w:type="spellEnd"/>
      <w:r w:rsidRPr="00253D46">
        <w:rPr>
          <w:rFonts w:cs="Times New Roman"/>
          <w:color w:val="000000"/>
          <w:lang w:val="en-US"/>
        </w:rPr>
        <w:t xml:space="preserve"> </w:t>
      </w:r>
      <w:proofErr w:type="spellStart"/>
      <w:r w:rsidRPr="00253D46">
        <w:rPr>
          <w:rFonts w:cs="Times New Roman"/>
          <w:color w:val="000000"/>
          <w:lang w:val="en-US"/>
        </w:rPr>
        <w:t>Rossiyskoy</w:t>
      </w:r>
      <w:proofErr w:type="spellEnd"/>
      <w:r w:rsidRPr="00253D46">
        <w:rPr>
          <w:rFonts w:cs="Times New Roman"/>
          <w:color w:val="000000"/>
          <w:lang w:val="en-US"/>
        </w:rPr>
        <w:t xml:space="preserve"> </w:t>
      </w:r>
      <w:proofErr w:type="spellStart"/>
      <w:r w:rsidRPr="00253D46">
        <w:rPr>
          <w:rFonts w:cs="Times New Roman"/>
          <w:color w:val="000000"/>
          <w:lang w:val="en-US"/>
        </w:rPr>
        <w:t>Federatsii</w:t>
      </w:r>
      <w:proofErr w:type="spellEnd"/>
      <w:r w:rsidRPr="00253D46">
        <w:rPr>
          <w:rFonts w:cs="Times New Roman"/>
          <w:color w:val="000000"/>
          <w:lang w:val="en-US"/>
        </w:rPr>
        <w:t xml:space="preserve"> </w:t>
      </w:r>
      <w:proofErr w:type="spellStart"/>
      <w:r w:rsidRPr="00253D46">
        <w:rPr>
          <w:rFonts w:cs="Times New Roman"/>
          <w:color w:val="000000"/>
          <w:lang w:val="en-US"/>
        </w:rPr>
        <w:t>na</w:t>
      </w:r>
      <w:proofErr w:type="spellEnd"/>
      <w:r w:rsidRPr="00253D46">
        <w:rPr>
          <w:rFonts w:cs="Times New Roman"/>
          <w:color w:val="000000"/>
          <w:lang w:val="en-US"/>
        </w:rPr>
        <w:t xml:space="preserve"> period do 2030 </w:t>
      </w:r>
      <w:proofErr w:type="spellStart"/>
      <w:r w:rsidRPr="00253D46">
        <w:rPr>
          <w:rFonts w:cs="Times New Roman"/>
          <w:color w:val="000000"/>
          <w:lang w:val="en-US"/>
        </w:rPr>
        <w:t>goda</w:t>
      </w:r>
      <w:proofErr w:type="spellEnd"/>
      <w:r w:rsidRPr="00253D46">
        <w:rPr>
          <w:rFonts w:cs="Times New Roman"/>
          <w:color w:val="000000"/>
          <w:lang w:val="en-US"/>
        </w:rPr>
        <w:t>" [Decree of the President of the Russian Federation of 13.05.2017 No. 208 "On the Strategy of Economic Security of the Russian Federation until 2030"]. Available at: http://www.consultant.ru/document/cons_doc_LAW_216629/ (accessed: 01.07.2026).</w:t>
      </w:r>
    </w:p>
    <w:p w14:paraId="1C7D6EE3" w14:textId="77777777" w:rsidR="00DA2276" w:rsidRPr="00253D46" w:rsidRDefault="008E598B">
      <w:pPr>
        <w:spacing w:before="40"/>
        <w:jc w:val="both"/>
        <w:rPr>
          <w:lang w:val="en-US"/>
        </w:rPr>
      </w:pPr>
      <w:r w:rsidRPr="00253D46">
        <w:rPr>
          <w:rFonts w:cs="Times New Roman"/>
          <w:color w:val="000000"/>
          <w:lang w:val="en-US"/>
        </w:rPr>
        <w:t xml:space="preserve">2. </w:t>
      </w:r>
      <w:proofErr w:type="spellStart"/>
      <w:r w:rsidRPr="00253D46">
        <w:rPr>
          <w:rFonts w:cs="Times New Roman"/>
          <w:color w:val="000000"/>
          <w:lang w:val="en-US"/>
        </w:rPr>
        <w:t>Federal'nyy</w:t>
      </w:r>
      <w:proofErr w:type="spellEnd"/>
      <w:r w:rsidRPr="00253D46">
        <w:rPr>
          <w:rFonts w:cs="Times New Roman"/>
          <w:color w:val="000000"/>
          <w:lang w:val="en-US"/>
        </w:rPr>
        <w:t xml:space="preserve"> </w:t>
      </w:r>
      <w:proofErr w:type="spellStart"/>
      <w:r w:rsidRPr="00253D46">
        <w:rPr>
          <w:rFonts w:cs="Times New Roman"/>
          <w:color w:val="000000"/>
          <w:lang w:val="en-US"/>
        </w:rPr>
        <w:t>zakon</w:t>
      </w:r>
      <w:proofErr w:type="spellEnd"/>
      <w:r w:rsidRPr="00253D46">
        <w:rPr>
          <w:rFonts w:cs="Times New Roman"/>
          <w:color w:val="000000"/>
          <w:lang w:val="en-US"/>
        </w:rPr>
        <w:t xml:space="preserve"> </w:t>
      </w:r>
      <w:proofErr w:type="spellStart"/>
      <w:r w:rsidRPr="00253D46">
        <w:rPr>
          <w:rFonts w:cs="Times New Roman"/>
          <w:color w:val="000000"/>
          <w:lang w:val="en-US"/>
        </w:rPr>
        <w:t>ot</w:t>
      </w:r>
      <w:proofErr w:type="spellEnd"/>
      <w:r w:rsidRPr="00253D46">
        <w:rPr>
          <w:rFonts w:cs="Times New Roman"/>
          <w:color w:val="000000"/>
          <w:lang w:val="en-US"/>
        </w:rPr>
        <w:t xml:space="preserve"> 28.12.2010 No. 390-FZ "O </w:t>
      </w:r>
      <w:proofErr w:type="spellStart"/>
      <w:r w:rsidRPr="00253D46">
        <w:rPr>
          <w:rFonts w:cs="Times New Roman"/>
          <w:color w:val="000000"/>
          <w:lang w:val="en-US"/>
        </w:rPr>
        <w:t>bezopasnosti</w:t>
      </w:r>
      <w:proofErr w:type="spellEnd"/>
      <w:r w:rsidRPr="00253D46">
        <w:rPr>
          <w:rFonts w:cs="Times New Roman"/>
          <w:color w:val="000000"/>
          <w:lang w:val="en-US"/>
        </w:rPr>
        <w:t>" [Federal Law of 28.12.2010 No. 390-FZ "On Security"]. Available at: http://www.consultant.ru/document/cons_doc_LAW_108546/ (accessed: 01.07.2026).</w:t>
      </w:r>
    </w:p>
    <w:p w14:paraId="1313BE47" w14:textId="77777777" w:rsidR="00DA2276" w:rsidRPr="00253D46" w:rsidRDefault="008E598B">
      <w:pPr>
        <w:spacing w:before="40"/>
        <w:jc w:val="both"/>
        <w:rPr>
          <w:lang w:val="en-US"/>
        </w:rPr>
      </w:pPr>
      <w:r w:rsidRPr="00253D46">
        <w:rPr>
          <w:rFonts w:cs="Times New Roman"/>
          <w:color w:val="000000"/>
          <w:lang w:val="en-US"/>
        </w:rPr>
        <w:t xml:space="preserve">3. GOST R ISO 31000-2019. </w:t>
      </w:r>
      <w:proofErr w:type="spellStart"/>
      <w:r w:rsidRPr="00253D46">
        <w:rPr>
          <w:rFonts w:cs="Times New Roman"/>
          <w:color w:val="000000"/>
          <w:lang w:val="en-US"/>
        </w:rPr>
        <w:t>Menedzhment</w:t>
      </w:r>
      <w:proofErr w:type="spellEnd"/>
      <w:r w:rsidRPr="00253D46">
        <w:rPr>
          <w:rFonts w:cs="Times New Roman"/>
          <w:color w:val="000000"/>
          <w:lang w:val="en-US"/>
        </w:rPr>
        <w:t xml:space="preserve"> </w:t>
      </w:r>
      <w:proofErr w:type="spellStart"/>
      <w:r w:rsidRPr="00253D46">
        <w:rPr>
          <w:rFonts w:cs="Times New Roman"/>
          <w:color w:val="000000"/>
          <w:lang w:val="en-US"/>
        </w:rPr>
        <w:t>riska</w:t>
      </w:r>
      <w:proofErr w:type="spellEnd"/>
      <w:r w:rsidRPr="00253D46">
        <w:rPr>
          <w:rFonts w:cs="Times New Roman"/>
          <w:color w:val="000000"/>
          <w:lang w:val="en-US"/>
        </w:rPr>
        <w:t xml:space="preserve">. </w:t>
      </w:r>
      <w:proofErr w:type="spellStart"/>
      <w:r w:rsidRPr="00253D46">
        <w:rPr>
          <w:rFonts w:cs="Times New Roman"/>
          <w:color w:val="000000"/>
          <w:lang w:val="en-US"/>
        </w:rPr>
        <w:t>Printsipy</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rukovodstvo</w:t>
      </w:r>
      <w:proofErr w:type="spellEnd"/>
      <w:r w:rsidRPr="00253D46">
        <w:rPr>
          <w:rFonts w:cs="Times New Roman"/>
          <w:color w:val="000000"/>
          <w:lang w:val="en-US"/>
        </w:rPr>
        <w:t xml:space="preserve"> [Risk Management. Principles and Guidelines]. Moscow: </w:t>
      </w:r>
      <w:proofErr w:type="spellStart"/>
      <w:r w:rsidRPr="00253D46">
        <w:rPr>
          <w:rFonts w:cs="Times New Roman"/>
          <w:color w:val="000000"/>
          <w:lang w:val="en-US"/>
        </w:rPr>
        <w:t>Standartinform</w:t>
      </w:r>
      <w:proofErr w:type="spellEnd"/>
      <w:r w:rsidRPr="00253D46">
        <w:rPr>
          <w:rFonts w:cs="Times New Roman"/>
          <w:color w:val="000000"/>
          <w:lang w:val="en-US"/>
        </w:rPr>
        <w:t>, 2020. 20 p.</w:t>
      </w:r>
    </w:p>
    <w:p w14:paraId="77776C07" w14:textId="77777777" w:rsidR="00DA2276" w:rsidRPr="00253D46" w:rsidRDefault="008E598B">
      <w:pPr>
        <w:spacing w:before="40"/>
        <w:jc w:val="both"/>
        <w:rPr>
          <w:lang w:val="en-US"/>
        </w:rPr>
      </w:pPr>
      <w:r w:rsidRPr="00253D46">
        <w:rPr>
          <w:rFonts w:cs="Times New Roman"/>
          <w:color w:val="000000"/>
          <w:lang w:val="en-US"/>
        </w:rPr>
        <w:t xml:space="preserve">4. GOST R 51897-2011. </w:t>
      </w:r>
      <w:proofErr w:type="spellStart"/>
      <w:r w:rsidRPr="00253D46">
        <w:rPr>
          <w:rFonts w:cs="Times New Roman"/>
          <w:color w:val="000000"/>
          <w:lang w:val="en-US"/>
        </w:rPr>
        <w:t>Menedzhment</w:t>
      </w:r>
      <w:proofErr w:type="spellEnd"/>
      <w:r w:rsidRPr="00253D46">
        <w:rPr>
          <w:rFonts w:cs="Times New Roman"/>
          <w:color w:val="000000"/>
          <w:lang w:val="en-US"/>
        </w:rPr>
        <w:t xml:space="preserve"> </w:t>
      </w:r>
      <w:proofErr w:type="spellStart"/>
      <w:r w:rsidRPr="00253D46">
        <w:rPr>
          <w:rFonts w:cs="Times New Roman"/>
          <w:color w:val="000000"/>
          <w:lang w:val="en-US"/>
        </w:rPr>
        <w:t>riska</w:t>
      </w:r>
      <w:proofErr w:type="spellEnd"/>
      <w:r w:rsidRPr="00253D46">
        <w:rPr>
          <w:rFonts w:cs="Times New Roman"/>
          <w:color w:val="000000"/>
          <w:lang w:val="en-US"/>
        </w:rPr>
        <w:t xml:space="preserve">. </w:t>
      </w:r>
      <w:proofErr w:type="spellStart"/>
      <w:r w:rsidRPr="00253D46">
        <w:rPr>
          <w:rFonts w:cs="Times New Roman"/>
          <w:color w:val="000000"/>
          <w:lang w:val="en-US"/>
        </w:rPr>
        <w:t>Terminy</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opredeleniya</w:t>
      </w:r>
      <w:proofErr w:type="spellEnd"/>
      <w:r w:rsidRPr="00253D46">
        <w:rPr>
          <w:rFonts w:cs="Times New Roman"/>
          <w:color w:val="000000"/>
          <w:lang w:val="en-US"/>
        </w:rPr>
        <w:t xml:space="preserve"> [Risk Management. Terms and Definitions]. Moscow: </w:t>
      </w:r>
      <w:proofErr w:type="spellStart"/>
      <w:r w:rsidRPr="00253D46">
        <w:rPr>
          <w:rFonts w:cs="Times New Roman"/>
          <w:color w:val="000000"/>
          <w:lang w:val="en-US"/>
        </w:rPr>
        <w:t>Standartinform</w:t>
      </w:r>
      <w:proofErr w:type="spellEnd"/>
      <w:r w:rsidRPr="00253D46">
        <w:rPr>
          <w:rFonts w:cs="Times New Roman"/>
          <w:color w:val="000000"/>
          <w:lang w:val="en-US"/>
        </w:rPr>
        <w:t>, 2012. 16 p.</w:t>
      </w:r>
    </w:p>
    <w:p w14:paraId="3B783843" w14:textId="77777777" w:rsidR="00DA2276" w:rsidRPr="00253D46" w:rsidRDefault="008E598B">
      <w:pPr>
        <w:spacing w:before="40"/>
        <w:jc w:val="both"/>
        <w:rPr>
          <w:lang w:val="en-US"/>
        </w:rPr>
      </w:pPr>
      <w:r w:rsidRPr="00253D46">
        <w:rPr>
          <w:rFonts w:cs="Times New Roman"/>
          <w:color w:val="000000"/>
          <w:lang w:val="en-US"/>
        </w:rPr>
        <w:t xml:space="preserve">5. Abalkin L. I. </w:t>
      </w:r>
      <w:proofErr w:type="spellStart"/>
      <w:r w:rsidRPr="00253D46">
        <w:rPr>
          <w:rFonts w:cs="Times New Roman"/>
          <w:color w:val="000000"/>
          <w:lang w:val="en-US"/>
        </w:rPr>
        <w:t>Ekonomicheskaya</w:t>
      </w:r>
      <w:proofErr w:type="spellEnd"/>
      <w:r w:rsidRPr="00253D46">
        <w:rPr>
          <w:rFonts w:cs="Times New Roman"/>
          <w:color w:val="000000"/>
          <w:lang w:val="en-US"/>
        </w:rPr>
        <w:t xml:space="preserve"> </w:t>
      </w:r>
      <w:proofErr w:type="spellStart"/>
      <w:r w:rsidRPr="00253D46">
        <w:rPr>
          <w:rFonts w:cs="Times New Roman"/>
          <w:color w:val="000000"/>
          <w:lang w:val="en-US"/>
        </w:rPr>
        <w:t>bezopasnost</w:t>
      </w:r>
      <w:proofErr w:type="spellEnd"/>
      <w:r w:rsidRPr="00253D46">
        <w:rPr>
          <w:rFonts w:cs="Times New Roman"/>
          <w:color w:val="000000"/>
          <w:lang w:val="en-US"/>
        </w:rPr>
        <w:t xml:space="preserve">' Rossii: </w:t>
      </w:r>
      <w:proofErr w:type="spellStart"/>
      <w:r w:rsidRPr="00253D46">
        <w:rPr>
          <w:rFonts w:cs="Times New Roman"/>
          <w:color w:val="000000"/>
          <w:lang w:val="en-US"/>
        </w:rPr>
        <w:t>ugrozy</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ikh</w:t>
      </w:r>
      <w:proofErr w:type="spellEnd"/>
      <w:r w:rsidRPr="00253D46">
        <w:rPr>
          <w:rFonts w:cs="Times New Roman"/>
          <w:color w:val="000000"/>
          <w:lang w:val="en-US"/>
        </w:rPr>
        <w:t xml:space="preserve"> </w:t>
      </w:r>
      <w:proofErr w:type="spellStart"/>
      <w:r w:rsidRPr="00253D46">
        <w:rPr>
          <w:rFonts w:cs="Times New Roman"/>
          <w:color w:val="000000"/>
          <w:lang w:val="en-US"/>
        </w:rPr>
        <w:t>otrazhenie</w:t>
      </w:r>
      <w:proofErr w:type="spellEnd"/>
      <w:r w:rsidRPr="00253D46">
        <w:rPr>
          <w:rFonts w:cs="Times New Roman"/>
          <w:color w:val="000000"/>
          <w:lang w:val="en-US"/>
        </w:rPr>
        <w:t xml:space="preserve"> [Economic Security of Russia: Threats and Their Reflection]. </w:t>
      </w:r>
      <w:proofErr w:type="spellStart"/>
      <w:r w:rsidRPr="00253D46">
        <w:rPr>
          <w:rFonts w:cs="Times New Roman"/>
          <w:color w:val="000000"/>
          <w:lang w:val="en-US"/>
        </w:rPr>
        <w:t>Voprosy</w:t>
      </w:r>
      <w:proofErr w:type="spellEnd"/>
      <w:r w:rsidRPr="00253D46">
        <w:rPr>
          <w:rFonts w:cs="Times New Roman"/>
          <w:color w:val="000000"/>
          <w:lang w:val="en-US"/>
        </w:rPr>
        <w:t xml:space="preserve"> </w:t>
      </w:r>
      <w:proofErr w:type="spellStart"/>
      <w:r w:rsidRPr="00253D46">
        <w:rPr>
          <w:rFonts w:cs="Times New Roman"/>
          <w:color w:val="000000"/>
          <w:lang w:val="en-US"/>
        </w:rPr>
        <w:t>ekonomiki</w:t>
      </w:r>
      <w:proofErr w:type="spellEnd"/>
      <w:r w:rsidRPr="00253D46">
        <w:rPr>
          <w:rFonts w:cs="Times New Roman"/>
          <w:color w:val="000000"/>
          <w:lang w:val="en-US"/>
        </w:rPr>
        <w:t xml:space="preserve"> [Questions of Economics], 1994, No. 12, pp. 4-13.</w:t>
      </w:r>
    </w:p>
    <w:p w14:paraId="0E133597" w14:textId="77777777" w:rsidR="00DA2276" w:rsidRPr="00253D46" w:rsidRDefault="008E598B">
      <w:pPr>
        <w:spacing w:before="40"/>
        <w:jc w:val="both"/>
        <w:rPr>
          <w:lang w:val="en-US"/>
        </w:rPr>
      </w:pPr>
      <w:r w:rsidRPr="00253D46">
        <w:rPr>
          <w:rFonts w:cs="Times New Roman"/>
          <w:color w:val="000000"/>
          <w:lang w:val="en-US"/>
        </w:rPr>
        <w:t xml:space="preserve">6. </w:t>
      </w:r>
      <w:proofErr w:type="spellStart"/>
      <w:r w:rsidRPr="00253D46">
        <w:rPr>
          <w:rFonts w:cs="Times New Roman"/>
          <w:color w:val="000000"/>
          <w:lang w:val="en-US"/>
        </w:rPr>
        <w:t>Glaz'yev</w:t>
      </w:r>
      <w:proofErr w:type="spellEnd"/>
      <w:r w:rsidRPr="00253D46">
        <w:rPr>
          <w:rFonts w:cs="Times New Roman"/>
          <w:color w:val="000000"/>
          <w:lang w:val="en-US"/>
        </w:rPr>
        <w:t xml:space="preserve"> S. Yu., </w:t>
      </w:r>
      <w:proofErr w:type="spellStart"/>
      <w:r w:rsidRPr="00253D46">
        <w:rPr>
          <w:rFonts w:cs="Times New Roman"/>
          <w:color w:val="000000"/>
          <w:lang w:val="en-US"/>
        </w:rPr>
        <w:t>Lokosov</w:t>
      </w:r>
      <w:proofErr w:type="spellEnd"/>
      <w:r w:rsidRPr="00253D46">
        <w:rPr>
          <w:rFonts w:cs="Times New Roman"/>
          <w:color w:val="000000"/>
          <w:lang w:val="en-US"/>
        </w:rPr>
        <w:t xml:space="preserve"> V. V. </w:t>
      </w:r>
      <w:proofErr w:type="spellStart"/>
      <w:r w:rsidRPr="00253D46">
        <w:rPr>
          <w:rFonts w:cs="Times New Roman"/>
          <w:color w:val="000000"/>
          <w:lang w:val="en-US"/>
        </w:rPr>
        <w:t>Otsenka</w:t>
      </w:r>
      <w:proofErr w:type="spellEnd"/>
      <w:r w:rsidRPr="00253D46">
        <w:rPr>
          <w:rFonts w:cs="Times New Roman"/>
          <w:color w:val="000000"/>
          <w:lang w:val="en-US"/>
        </w:rPr>
        <w:t xml:space="preserve"> </w:t>
      </w:r>
      <w:proofErr w:type="spellStart"/>
      <w:r w:rsidRPr="00253D46">
        <w:rPr>
          <w:rFonts w:cs="Times New Roman"/>
          <w:color w:val="000000"/>
          <w:lang w:val="en-US"/>
        </w:rPr>
        <w:t>predel'no</w:t>
      </w:r>
      <w:proofErr w:type="spellEnd"/>
      <w:r w:rsidRPr="00253D46">
        <w:rPr>
          <w:rFonts w:cs="Times New Roman"/>
          <w:color w:val="000000"/>
          <w:lang w:val="en-US"/>
        </w:rPr>
        <w:t xml:space="preserve"> </w:t>
      </w:r>
      <w:proofErr w:type="spellStart"/>
      <w:r w:rsidRPr="00253D46">
        <w:rPr>
          <w:rFonts w:cs="Times New Roman"/>
          <w:color w:val="000000"/>
          <w:lang w:val="en-US"/>
        </w:rPr>
        <w:t>kriticheskikh</w:t>
      </w:r>
      <w:proofErr w:type="spellEnd"/>
      <w:r w:rsidRPr="00253D46">
        <w:rPr>
          <w:rFonts w:cs="Times New Roman"/>
          <w:color w:val="000000"/>
          <w:lang w:val="en-US"/>
        </w:rPr>
        <w:t xml:space="preserve"> </w:t>
      </w:r>
      <w:proofErr w:type="spellStart"/>
      <w:r w:rsidRPr="00253D46">
        <w:rPr>
          <w:rFonts w:cs="Times New Roman"/>
          <w:color w:val="000000"/>
          <w:lang w:val="en-US"/>
        </w:rPr>
        <w:t>znacheniy</w:t>
      </w:r>
      <w:proofErr w:type="spellEnd"/>
      <w:r w:rsidRPr="00253D46">
        <w:rPr>
          <w:rFonts w:cs="Times New Roman"/>
          <w:color w:val="000000"/>
          <w:lang w:val="en-US"/>
        </w:rPr>
        <w:t xml:space="preserve"> </w:t>
      </w:r>
      <w:proofErr w:type="spellStart"/>
      <w:r w:rsidRPr="00253D46">
        <w:rPr>
          <w:rFonts w:cs="Times New Roman"/>
          <w:color w:val="000000"/>
          <w:lang w:val="en-US"/>
        </w:rPr>
        <w:t>pokazateley</w:t>
      </w:r>
      <w:proofErr w:type="spellEnd"/>
      <w:r w:rsidRPr="00253D46">
        <w:rPr>
          <w:rFonts w:cs="Times New Roman"/>
          <w:color w:val="000000"/>
          <w:lang w:val="en-US"/>
        </w:rPr>
        <w:t xml:space="preserve"> </w:t>
      </w:r>
      <w:proofErr w:type="spellStart"/>
      <w:r w:rsidRPr="00253D46">
        <w:rPr>
          <w:rFonts w:cs="Times New Roman"/>
          <w:color w:val="000000"/>
          <w:lang w:val="en-US"/>
        </w:rPr>
        <w:t>sostoyaniya</w:t>
      </w:r>
      <w:proofErr w:type="spellEnd"/>
      <w:r w:rsidRPr="00253D46">
        <w:rPr>
          <w:rFonts w:cs="Times New Roman"/>
          <w:color w:val="000000"/>
          <w:lang w:val="en-US"/>
        </w:rPr>
        <w:t xml:space="preserve"> </w:t>
      </w:r>
      <w:proofErr w:type="spellStart"/>
      <w:r w:rsidRPr="00253D46">
        <w:rPr>
          <w:rFonts w:cs="Times New Roman"/>
          <w:color w:val="000000"/>
          <w:lang w:val="en-US"/>
        </w:rPr>
        <w:t>rossiyskogo</w:t>
      </w:r>
      <w:proofErr w:type="spellEnd"/>
      <w:r w:rsidRPr="00253D46">
        <w:rPr>
          <w:rFonts w:cs="Times New Roman"/>
          <w:color w:val="000000"/>
          <w:lang w:val="en-US"/>
        </w:rPr>
        <w:t xml:space="preserve"> </w:t>
      </w:r>
      <w:proofErr w:type="spellStart"/>
      <w:r w:rsidRPr="00253D46">
        <w:rPr>
          <w:rFonts w:cs="Times New Roman"/>
          <w:color w:val="000000"/>
          <w:lang w:val="en-US"/>
        </w:rPr>
        <w:t>obshchestva</w:t>
      </w:r>
      <w:proofErr w:type="spellEnd"/>
      <w:r w:rsidRPr="00253D46">
        <w:rPr>
          <w:rFonts w:cs="Times New Roman"/>
          <w:color w:val="000000"/>
          <w:lang w:val="en-US"/>
        </w:rPr>
        <w:t xml:space="preserve"> [Assessment of Threshold Critical Values of Russian Society Indicators]. </w:t>
      </w:r>
      <w:proofErr w:type="spellStart"/>
      <w:r w:rsidRPr="00253D46">
        <w:rPr>
          <w:rFonts w:cs="Times New Roman"/>
          <w:color w:val="000000"/>
          <w:lang w:val="en-US"/>
        </w:rPr>
        <w:t>Ekonomicheskie</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sotsial'nye</w:t>
      </w:r>
      <w:proofErr w:type="spellEnd"/>
      <w:r w:rsidRPr="00253D46">
        <w:rPr>
          <w:rFonts w:cs="Times New Roman"/>
          <w:color w:val="000000"/>
          <w:lang w:val="en-US"/>
        </w:rPr>
        <w:t xml:space="preserve"> </w:t>
      </w:r>
      <w:proofErr w:type="spellStart"/>
      <w:r w:rsidRPr="00253D46">
        <w:rPr>
          <w:rFonts w:cs="Times New Roman"/>
          <w:color w:val="000000"/>
          <w:lang w:val="en-US"/>
        </w:rPr>
        <w:t>peremeny</w:t>
      </w:r>
      <w:proofErr w:type="spellEnd"/>
      <w:r w:rsidRPr="00253D46">
        <w:rPr>
          <w:rFonts w:cs="Times New Roman"/>
          <w:color w:val="000000"/>
          <w:lang w:val="en-US"/>
        </w:rPr>
        <w:t xml:space="preserve">: </w:t>
      </w:r>
      <w:proofErr w:type="spellStart"/>
      <w:r w:rsidRPr="00253D46">
        <w:rPr>
          <w:rFonts w:cs="Times New Roman"/>
          <w:color w:val="000000"/>
          <w:lang w:val="en-US"/>
        </w:rPr>
        <w:t>fakty</w:t>
      </w:r>
      <w:proofErr w:type="spellEnd"/>
      <w:r w:rsidRPr="00253D46">
        <w:rPr>
          <w:rFonts w:cs="Times New Roman"/>
          <w:color w:val="000000"/>
          <w:lang w:val="en-US"/>
        </w:rPr>
        <w:t xml:space="preserve">, </w:t>
      </w:r>
      <w:proofErr w:type="spellStart"/>
      <w:r w:rsidRPr="00253D46">
        <w:rPr>
          <w:rFonts w:cs="Times New Roman"/>
          <w:color w:val="000000"/>
          <w:lang w:val="en-US"/>
        </w:rPr>
        <w:t>tendentsii</w:t>
      </w:r>
      <w:proofErr w:type="spellEnd"/>
      <w:r w:rsidRPr="00253D46">
        <w:rPr>
          <w:rFonts w:cs="Times New Roman"/>
          <w:color w:val="000000"/>
          <w:lang w:val="en-US"/>
        </w:rPr>
        <w:t xml:space="preserve">, </w:t>
      </w:r>
      <w:proofErr w:type="spellStart"/>
      <w:r w:rsidRPr="00253D46">
        <w:rPr>
          <w:rFonts w:cs="Times New Roman"/>
          <w:color w:val="000000"/>
          <w:lang w:val="en-US"/>
        </w:rPr>
        <w:t>prognoz</w:t>
      </w:r>
      <w:proofErr w:type="spellEnd"/>
      <w:r w:rsidRPr="00253D46">
        <w:rPr>
          <w:rFonts w:cs="Times New Roman"/>
          <w:color w:val="000000"/>
          <w:lang w:val="en-US"/>
        </w:rPr>
        <w:t xml:space="preserve"> [Economic and Social Changes], 2012, No. 4 (22), pp. 22-41.</w:t>
      </w:r>
    </w:p>
    <w:p w14:paraId="11FB8DC4" w14:textId="77777777" w:rsidR="00DA2276" w:rsidRPr="00253D46" w:rsidRDefault="008E598B">
      <w:pPr>
        <w:spacing w:before="40"/>
        <w:jc w:val="both"/>
        <w:rPr>
          <w:lang w:val="en-US"/>
        </w:rPr>
      </w:pPr>
      <w:r w:rsidRPr="00253D46">
        <w:rPr>
          <w:rFonts w:cs="Times New Roman"/>
          <w:color w:val="000000"/>
          <w:lang w:val="en-US"/>
        </w:rPr>
        <w:t xml:space="preserve">7. </w:t>
      </w:r>
      <w:proofErr w:type="spellStart"/>
      <w:r w:rsidRPr="00253D46">
        <w:rPr>
          <w:rFonts w:cs="Times New Roman"/>
          <w:color w:val="000000"/>
          <w:lang w:val="en-US"/>
        </w:rPr>
        <w:t>Krivorotov</w:t>
      </w:r>
      <w:proofErr w:type="spellEnd"/>
      <w:r w:rsidRPr="00253D46">
        <w:rPr>
          <w:rFonts w:cs="Times New Roman"/>
          <w:color w:val="000000"/>
          <w:lang w:val="en-US"/>
        </w:rPr>
        <w:t xml:space="preserve"> V. V., Kalina A. V., </w:t>
      </w:r>
      <w:proofErr w:type="spellStart"/>
      <w:r w:rsidRPr="00253D46">
        <w:rPr>
          <w:rFonts w:cs="Times New Roman"/>
          <w:color w:val="000000"/>
          <w:lang w:val="en-US"/>
        </w:rPr>
        <w:t>Eriashvili</w:t>
      </w:r>
      <w:proofErr w:type="spellEnd"/>
      <w:r w:rsidRPr="00253D46">
        <w:rPr>
          <w:rFonts w:cs="Times New Roman"/>
          <w:color w:val="000000"/>
          <w:lang w:val="en-US"/>
        </w:rPr>
        <w:t xml:space="preserve"> N. D. </w:t>
      </w:r>
      <w:proofErr w:type="spellStart"/>
      <w:r w:rsidRPr="00253D46">
        <w:rPr>
          <w:rFonts w:cs="Times New Roman"/>
          <w:color w:val="000000"/>
          <w:lang w:val="en-US"/>
        </w:rPr>
        <w:t>Ekonomicheskaya</w:t>
      </w:r>
      <w:proofErr w:type="spellEnd"/>
      <w:r w:rsidRPr="00253D46">
        <w:rPr>
          <w:rFonts w:cs="Times New Roman"/>
          <w:color w:val="000000"/>
          <w:lang w:val="en-US"/>
        </w:rPr>
        <w:t xml:space="preserve"> </w:t>
      </w:r>
      <w:proofErr w:type="spellStart"/>
      <w:r w:rsidRPr="00253D46">
        <w:rPr>
          <w:rFonts w:cs="Times New Roman"/>
          <w:color w:val="000000"/>
          <w:lang w:val="en-US"/>
        </w:rPr>
        <w:t>bezopasnost</w:t>
      </w:r>
      <w:proofErr w:type="spellEnd"/>
      <w:r w:rsidRPr="00253D46">
        <w:rPr>
          <w:rFonts w:cs="Times New Roman"/>
          <w:color w:val="000000"/>
          <w:lang w:val="en-US"/>
        </w:rPr>
        <w:t xml:space="preserve">' </w:t>
      </w:r>
      <w:proofErr w:type="spellStart"/>
      <w:r w:rsidRPr="00253D46">
        <w:rPr>
          <w:rFonts w:cs="Times New Roman"/>
          <w:color w:val="000000"/>
          <w:lang w:val="en-US"/>
        </w:rPr>
        <w:t>gosudarstva</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regionov</w:t>
      </w:r>
      <w:proofErr w:type="spellEnd"/>
      <w:r w:rsidRPr="00253D46">
        <w:rPr>
          <w:rFonts w:cs="Times New Roman"/>
          <w:color w:val="000000"/>
          <w:lang w:val="en-US"/>
        </w:rPr>
        <w:t xml:space="preserve"> [Economic Security of the State and Regions]. Moscow: </w:t>
      </w:r>
      <w:proofErr w:type="spellStart"/>
      <w:r w:rsidRPr="00253D46">
        <w:rPr>
          <w:rFonts w:cs="Times New Roman"/>
          <w:color w:val="000000"/>
          <w:lang w:val="en-US"/>
        </w:rPr>
        <w:t>YuNITI</w:t>
      </w:r>
      <w:proofErr w:type="spellEnd"/>
      <w:r w:rsidRPr="00253D46">
        <w:rPr>
          <w:rFonts w:cs="Times New Roman"/>
          <w:color w:val="000000"/>
          <w:lang w:val="en-US"/>
        </w:rPr>
        <w:t>-DANA, 2012. 351 p.</w:t>
      </w:r>
    </w:p>
    <w:p w14:paraId="7A7A5C9C" w14:textId="77777777" w:rsidR="00DA2276" w:rsidRPr="00253D46" w:rsidRDefault="008E598B">
      <w:pPr>
        <w:spacing w:before="40"/>
        <w:jc w:val="both"/>
        <w:rPr>
          <w:lang w:val="en-US"/>
        </w:rPr>
      </w:pPr>
      <w:r w:rsidRPr="00253D46">
        <w:rPr>
          <w:rFonts w:cs="Times New Roman"/>
          <w:color w:val="000000"/>
          <w:lang w:val="en-US"/>
        </w:rPr>
        <w:t xml:space="preserve">8. </w:t>
      </w:r>
      <w:proofErr w:type="spellStart"/>
      <w:r w:rsidRPr="00253D46">
        <w:rPr>
          <w:rFonts w:cs="Times New Roman"/>
          <w:color w:val="000000"/>
          <w:lang w:val="en-US"/>
        </w:rPr>
        <w:t>Levkina</w:t>
      </w:r>
      <w:proofErr w:type="spellEnd"/>
      <w:r w:rsidRPr="00253D46">
        <w:rPr>
          <w:rFonts w:cs="Times New Roman"/>
          <w:color w:val="000000"/>
          <w:lang w:val="en-US"/>
        </w:rPr>
        <w:t xml:space="preserve"> E. V., Sakharova L. A. </w:t>
      </w:r>
      <w:proofErr w:type="spellStart"/>
      <w:r w:rsidRPr="00253D46">
        <w:rPr>
          <w:rFonts w:cs="Times New Roman"/>
          <w:color w:val="000000"/>
          <w:lang w:val="en-US"/>
        </w:rPr>
        <w:t>Otsenka</w:t>
      </w:r>
      <w:proofErr w:type="spellEnd"/>
      <w:r w:rsidRPr="00253D46">
        <w:rPr>
          <w:rFonts w:cs="Times New Roman"/>
          <w:color w:val="000000"/>
          <w:lang w:val="en-US"/>
        </w:rPr>
        <w:t xml:space="preserve"> </w:t>
      </w:r>
      <w:proofErr w:type="spellStart"/>
      <w:r w:rsidRPr="00253D46">
        <w:rPr>
          <w:rFonts w:cs="Times New Roman"/>
          <w:color w:val="000000"/>
          <w:lang w:val="en-US"/>
        </w:rPr>
        <w:t>ekonomicheskoy</w:t>
      </w:r>
      <w:proofErr w:type="spellEnd"/>
      <w:r w:rsidRPr="00253D46">
        <w:rPr>
          <w:rFonts w:cs="Times New Roman"/>
          <w:color w:val="000000"/>
          <w:lang w:val="en-US"/>
        </w:rPr>
        <w:t xml:space="preserve"> </w:t>
      </w:r>
      <w:proofErr w:type="spellStart"/>
      <w:r w:rsidRPr="00253D46">
        <w:rPr>
          <w:rFonts w:cs="Times New Roman"/>
          <w:color w:val="000000"/>
          <w:lang w:val="en-US"/>
        </w:rPr>
        <w:t>bezopasnosti</w:t>
      </w:r>
      <w:proofErr w:type="spellEnd"/>
      <w:r w:rsidRPr="00253D46">
        <w:rPr>
          <w:rFonts w:cs="Times New Roman"/>
          <w:color w:val="000000"/>
          <w:lang w:val="en-US"/>
        </w:rPr>
        <w:t xml:space="preserve"> </w:t>
      </w:r>
      <w:proofErr w:type="spellStart"/>
      <w:r w:rsidRPr="00253D46">
        <w:rPr>
          <w:rFonts w:cs="Times New Roman"/>
          <w:color w:val="000000"/>
          <w:lang w:val="en-US"/>
        </w:rPr>
        <w:t>regiona</w:t>
      </w:r>
      <w:proofErr w:type="spellEnd"/>
      <w:r w:rsidRPr="00253D46">
        <w:rPr>
          <w:rFonts w:cs="Times New Roman"/>
          <w:color w:val="000000"/>
          <w:lang w:val="en-US"/>
        </w:rPr>
        <w:t xml:space="preserve"> (</w:t>
      </w:r>
      <w:proofErr w:type="spellStart"/>
      <w:r w:rsidRPr="00253D46">
        <w:rPr>
          <w:rFonts w:cs="Times New Roman"/>
          <w:color w:val="000000"/>
          <w:lang w:val="en-US"/>
        </w:rPr>
        <w:t>na</w:t>
      </w:r>
      <w:proofErr w:type="spellEnd"/>
      <w:r w:rsidRPr="00253D46">
        <w:rPr>
          <w:rFonts w:cs="Times New Roman"/>
          <w:color w:val="000000"/>
          <w:lang w:val="en-US"/>
        </w:rPr>
        <w:t xml:space="preserve"> </w:t>
      </w:r>
      <w:proofErr w:type="spellStart"/>
      <w:r w:rsidRPr="00253D46">
        <w:rPr>
          <w:rFonts w:cs="Times New Roman"/>
          <w:color w:val="000000"/>
          <w:lang w:val="en-US"/>
        </w:rPr>
        <w:t>primere</w:t>
      </w:r>
      <w:proofErr w:type="spellEnd"/>
      <w:r w:rsidRPr="00253D46">
        <w:rPr>
          <w:rFonts w:cs="Times New Roman"/>
          <w:color w:val="000000"/>
          <w:lang w:val="en-US"/>
        </w:rPr>
        <w:t xml:space="preserve"> </w:t>
      </w:r>
      <w:proofErr w:type="spellStart"/>
      <w:r w:rsidRPr="00253D46">
        <w:rPr>
          <w:rFonts w:cs="Times New Roman"/>
          <w:color w:val="000000"/>
          <w:lang w:val="en-US"/>
        </w:rPr>
        <w:t>Primorskogo</w:t>
      </w:r>
      <w:proofErr w:type="spellEnd"/>
      <w:r w:rsidRPr="00253D46">
        <w:rPr>
          <w:rFonts w:cs="Times New Roman"/>
          <w:color w:val="000000"/>
          <w:lang w:val="en-US"/>
        </w:rPr>
        <w:t xml:space="preserve"> </w:t>
      </w:r>
      <w:proofErr w:type="spellStart"/>
      <w:r w:rsidRPr="00253D46">
        <w:rPr>
          <w:rFonts w:cs="Times New Roman"/>
          <w:color w:val="000000"/>
          <w:lang w:val="en-US"/>
        </w:rPr>
        <w:t>kraya</w:t>
      </w:r>
      <w:proofErr w:type="spellEnd"/>
      <w:r w:rsidRPr="00253D46">
        <w:rPr>
          <w:rFonts w:cs="Times New Roman"/>
          <w:color w:val="000000"/>
          <w:lang w:val="en-US"/>
        </w:rPr>
        <w:t xml:space="preserve">) [Assessment of Regional Economic Security (Case Study of </w:t>
      </w:r>
      <w:proofErr w:type="spellStart"/>
      <w:r w:rsidRPr="00253D46">
        <w:rPr>
          <w:rFonts w:cs="Times New Roman"/>
          <w:color w:val="000000"/>
          <w:lang w:val="en-US"/>
        </w:rPr>
        <w:t>Primorsky</w:t>
      </w:r>
      <w:proofErr w:type="spellEnd"/>
      <w:r w:rsidRPr="00253D46">
        <w:rPr>
          <w:rFonts w:cs="Times New Roman"/>
          <w:color w:val="000000"/>
          <w:lang w:val="en-US"/>
        </w:rPr>
        <w:t xml:space="preserve"> Krai)]. </w:t>
      </w:r>
      <w:proofErr w:type="spellStart"/>
      <w:r w:rsidRPr="00253D46">
        <w:rPr>
          <w:rFonts w:cs="Times New Roman"/>
          <w:color w:val="000000"/>
          <w:lang w:val="en-US"/>
        </w:rPr>
        <w:t>Ekonomika</w:t>
      </w:r>
      <w:proofErr w:type="spellEnd"/>
      <w:r w:rsidRPr="00253D46">
        <w:rPr>
          <w:rFonts w:cs="Times New Roman"/>
          <w:color w:val="000000"/>
          <w:lang w:val="en-US"/>
        </w:rPr>
        <w:t xml:space="preserve">, </w:t>
      </w:r>
      <w:proofErr w:type="spellStart"/>
      <w:r w:rsidRPr="00253D46">
        <w:rPr>
          <w:rFonts w:cs="Times New Roman"/>
          <w:color w:val="000000"/>
          <w:lang w:val="en-US"/>
        </w:rPr>
        <w:t>predprinimatel'stvo</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pravo</w:t>
      </w:r>
      <w:proofErr w:type="spellEnd"/>
      <w:r w:rsidRPr="00253D46">
        <w:rPr>
          <w:rFonts w:cs="Times New Roman"/>
          <w:color w:val="000000"/>
          <w:lang w:val="en-US"/>
        </w:rPr>
        <w:t xml:space="preserve"> [Economics, Entrepreneurship and Law], 2022, No. 9, pp. 2441-2458. Available at: https://1economic.ru/lib/116259 (accessed: 01.07.2026).</w:t>
      </w:r>
    </w:p>
    <w:p w14:paraId="433FC6A8" w14:textId="77777777" w:rsidR="00DA2276" w:rsidRPr="00253D46" w:rsidRDefault="008E598B">
      <w:pPr>
        <w:spacing w:before="40"/>
        <w:jc w:val="both"/>
        <w:rPr>
          <w:lang w:val="en-US"/>
        </w:rPr>
      </w:pPr>
      <w:r w:rsidRPr="00253D46">
        <w:rPr>
          <w:rFonts w:cs="Times New Roman"/>
          <w:color w:val="000000"/>
          <w:lang w:val="en-US"/>
        </w:rPr>
        <w:lastRenderedPageBreak/>
        <w:t xml:space="preserve">9. Miller A. E. </w:t>
      </w:r>
      <w:proofErr w:type="spellStart"/>
      <w:r w:rsidRPr="00253D46">
        <w:rPr>
          <w:rFonts w:cs="Times New Roman"/>
          <w:color w:val="000000"/>
          <w:lang w:val="en-US"/>
        </w:rPr>
        <w:t>Riski</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ugrozy</w:t>
      </w:r>
      <w:proofErr w:type="spellEnd"/>
      <w:r w:rsidRPr="00253D46">
        <w:rPr>
          <w:rFonts w:cs="Times New Roman"/>
          <w:color w:val="000000"/>
          <w:lang w:val="en-US"/>
        </w:rPr>
        <w:t xml:space="preserve"> </w:t>
      </w:r>
      <w:proofErr w:type="spellStart"/>
      <w:r w:rsidRPr="00253D46">
        <w:rPr>
          <w:rFonts w:cs="Times New Roman"/>
          <w:color w:val="000000"/>
          <w:lang w:val="en-US"/>
        </w:rPr>
        <w:t>ustoychivosti</w:t>
      </w:r>
      <w:proofErr w:type="spellEnd"/>
      <w:r w:rsidRPr="00253D46">
        <w:rPr>
          <w:rFonts w:cs="Times New Roman"/>
          <w:color w:val="000000"/>
          <w:lang w:val="en-US"/>
        </w:rPr>
        <w:t xml:space="preserve"> </w:t>
      </w:r>
      <w:proofErr w:type="spellStart"/>
      <w:r w:rsidRPr="00253D46">
        <w:rPr>
          <w:rFonts w:cs="Times New Roman"/>
          <w:color w:val="000000"/>
          <w:lang w:val="en-US"/>
        </w:rPr>
        <w:t>regional'noy</w:t>
      </w:r>
      <w:proofErr w:type="spellEnd"/>
      <w:r w:rsidRPr="00253D46">
        <w:rPr>
          <w:rFonts w:cs="Times New Roman"/>
          <w:color w:val="000000"/>
          <w:lang w:val="en-US"/>
        </w:rPr>
        <w:t xml:space="preserve"> </w:t>
      </w:r>
      <w:proofErr w:type="spellStart"/>
      <w:r w:rsidRPr="00253D46">
        <w:rPr>
          <w:rFonts w:cs="Times New Roman"/>
          <w:color w:val="000000"/>
          <w:lang w:val="en-US"/>
        </w:rPr>
        <w:t>ekonomiki</w:t>
      </w:r>
      <w:proofErr w:type="spellEnd"/>
      <w:r w:rsidRPr="00253D46">
        <w:rPr>
          <w:rFonts w:cs="Times New Roman"/>
          <w:color w:val="000000"/>
          <w:lang w:val="en-US"/>
        </w:rPr>
        <w:t xml:space="preserve"> v </w:t>
      </w:r>
      <w:proofErr w:type="spellStart"/>
      <w:r w:rsidRPr="00253D46">
        <w:rPr>
          <w:rFonts w:cs="Times New Roman"/>
          <w:color w:val="000000"/>
          <w:lang w:val="en-US"/>
        </w:rPr>
        <w:t>usloviyakh</w:t>
      </w:r>
      <w:proofErr w:type="spellEnd"/>
      <w:r w:rsidRPr="00253D46">
        <w:rPr>
          <w:rFonts w:cs="Times New Roman"/>
          <w:color w:val="000000"/>
          <w:lang w:val="en-US"/>
        </w:rPr>
        <w:t xml:space="preserve"> </w:t>
      </w:r>
      <w:proofErr w:type="spellStart"/>
      <w:r w:rsidRPr="00253D46">
        <w:rPr>
          <w:rFonts w:cs="Times New Roman"/>
          <w:color w:val="000000"/>
          <w:lang w:val="en-US"/>
        </w:rPr>
        <w:t>sovremennykh</w:t>
      </w:r>
      <w:proofErr w:type="spellEnd"/>
      <w:r w:rsidRPr="00253D46">
        <w:rPr>
          <w:rFonts w:cs="Times New Roman"/>
          <w:color w:val="000000"/>
          <w:lang w:val="en-US"/>
        </w:rPr>
        <w:t xml:space="preserve"> </w:t>
      </w:r>
      <w:proofErr w:type="spellStart"/>
      <w:r w:rsidRPr="00253D46">
        <w:rPr>
          <w:rFonts w:cs="Times New Roman"/>
          <w:color w:val="000000"/>
          <w:lang w:val="en-US"/>
        </w:rPr>
        <w:t>vyzovov</w:t>
      </w:r>
      <w:proofErr w:type="spellEnd"/>
      <w:r w:rsidRPr="00253D46">
        <w:rPr>
          <w:rFonts w:cs="Times New Roman"/>
          <w:color w:val="000000"/>
          <w:lang w:val="en-US"/>
        </w:rPr>
        <w:t xml:space="preserve"> [Risks and Threats to Regional Economic Resilience Under Modern Challenges]. </w:t>
      </w:r>
      <w:proofErr w:type="spellStart"/>
      <w:r w:rsidRPr="00253D46">
        <w:rPr>
          <w:rFonts w:cs="Times New Roman"/>
          <w:color w:val="000000"/>
          <w:lang w:val="en-US"/>
        </w:rPr>
        <w:t>Ekonomicheskaya</w:t>
      </w:r>
      <w:proofErr w:type="spellEnd"/>
      <w:r w:rsidRPr="00253D46">
        <w:rPr>
          <w:rFonts w:cs="Times New Roman"/>
          <w:color w:val="000000"/>
          <w:lang w:val="en-US"/>
        </w:rPr>
        <w:t xml:space="preserve"> </w:t>
      </w:r>
      <w:proofErr w:type="spellStart"/>
      <w:r w:rsidRPr="00253D46">
        <w:rPr>
          <w:rFonts w:cs="Times New Roman"/>
          <w:color w:val="000000"/>
          <w:lang w:val="en-US"/>
        </w:rPr>
        <w:t>bezopasnost</w:t>
      </w:r>
      <w:proofErr w:type="spellEnd"/>
      <w:r w:rsidRPr="00253D46">
        <w:rPr>
          <w:rFonts w:cs="Times New Roman"/>
          <w:color w:val="000000"/>
          <w:lang w:val="en-US"/>
        </w:rPr>
        <w:t>' [Economic Security], 2024, No. 10. Available at: https://1economic.ru/lib/121915 (accessed: 01.07.2026).</w:t>
      </w:r>
    </w:p>
    <w:p w14:paraId="00B4E9C9" w14:textId="77777777" w:rsidR="00DA2276" w:rsidRPr="00253D46" w:rsidRDefault="008E598B">
      <w:pPr>
        <w:spacing w:before="40"/>
        <w:jc w:val="both"/>
        <w:rPr>
          <w:lang w:val="en-US"/>
        </w:rPr>
      </w:pPr>
      <w:r w:rsidRPr="00253D46">
        <w:rPr>
          <w:rFonts w:cs="Times New Roman"/>
          <w:color w:val="000000"/>
          <w:lang w:val="en-US"/>
        </w:rPr>
        <w:t xml:space="preserve">10. </w:t>
      </w:r>
      <w:proofErr w:type="spellStart"/>
      <w:r w:rsidRPr="00253D46">
        <w:rPr>
          <w:rFonts w:cs="Times New Roman"/>
          <w:color w:val="000000"/>
          <w:lang w:val="en-US"/>
        </w:rPr>
        <w:t>Senchagov</w:t>
      </w:r>
      <w:proofErr w:type="spellEnd"/>
      <w:r w:rsidRPr="00253D46">
        <w:rPr>
          <w:rFonts w:cs="Times New Roman"/>
          <w:color w:val="000000"/>
          <w:lang w:val="en-US"/>
        </w:rPr>
        <w:t xml:space="preserve"> V. K. (ed.) </w:t>
      </w:r>
      <w:proofErr w:type="spellStart"/>
      <w:r w:rsidRPr="00253D46">
        <w:rPr>
          <w:rFonts w:cs="Times New Roman"/>
          <w:color w:val="000000"/>
          <w:lang w:val="en-US"/>
        </w:rPr>
        <w:t>Ekonomicheskaya</w:t>
      </w:r>
      <w:proofErr w:type="spellEnd"/>
      <w:r w:rsidRPr="00253D46">
        <w:rPr>
          <w:rFonts w:cs="Times New Roman"/>
          <w:color w:val="000000"/>
          <w:lang w:val="en-US"/>
        </w:rPr>
        <w:t xml:space="preserve"> </w:t>
      </w:r>
      <w:proofErr w:type="spellStart"/>
      <w:r w:rsidRPr="00253D46">
        <w:rPr>
          <w:rFonts w:cs="Times New Roman"/>
          <w:color w:val="000000"/>
          <w:lang w:val="en-US"/>
        </w:rPr>
        <w:t>bezopasnost</w:t>
      </w:r>
      <w:proofErr w:type="spellEnd"/>
      <w:r w:rsidRPr="00253D46">
        <w:rPr>
          <w:rFonts w:cs="Times New Roman"/>
          <w:color w:val="000000"/>
          <w:lang w:val="en-US"/>
        </w:rPr>
        <w:t xml:space="preserve">' Rossii: </w:t>
      </w:r>
      <w:proofErr w:type="spellStart"/>
      <w:r w:rsidRPr="00253D46">
        <w:rPr>
          <w:rFonts w:cs="Times New Roman"/>
          <w:color w:val="000000"/>
          <w:lang w:val="en-US"/>
        </w:rPr>
        <w:t>obshchiy</w:t>
      </w:r>
      <w:proofErr w:type="spellEnd"/>
      <w:r w:rsidRPr="00253D46">
        <w:rPr>
          <w:rFonts w:cs="Times New Roman"/>
          <w:color w:val="000000"/>
          <w:lang w:val="en-US"/>
        </w:rPr>
        <w:t xml:space="preserve"> </w:t>
      </w:r>
      <w:proofErr w:type="spellStart"/>
      <w:r w:rsidRPr="00253D46">
        <w:rPr>
          <w:rFonts w:cs="Times New Roman"/>
          <w:color w:val="000000"/>
          <w:lang w:val="en-US"/>
        </w:rPr>
        <w:t>kurs</w:t>
      </w:r>
      <w:proofErr w:type="spellEnd"/>
      <w:r w:rsidRPr="00253D46">
        <w:rPr>
          <w:rFonts w:cs="Times New Roman"/>
          <w:color w:val="000000"/>
          <w:lang w:val="en-US"/>
        </w:rPr>
        <w:t xml:space="preserve"> [Economic Security of Russia: General Course]. 6th ed. Moscow: </w:t>
      </w:r>
      <w:proofErr w:type="spellStart"/>
      <w:r w:rsidRPr="00253D46">
        <w:rPr>
          <w:rFonts w:cs="Times New Roman"/>
          <w:color w:val="000000"/>
          <w:lang w:val="en-US"/>
        </w:rPr>
        <w:t>Laboratoriya</w:t>
      </w:r>
      <w:proofErr w:type="spellEnd"/>
      <w:r w:rsidRPr="00253D46">
        <w:rPr>
          <w:rFonts w:cs="Times New Roman"/>
          <w:color w:val="000000"/>
          <w:lang w:val="en-US"/>
        </w:rPr>
        <w:t xml:space="preserve"> </w:t>
      </w:r>
      <w:proofErr w:type="spellStart"/>
      <w:r w:rsidRPr="00253D46">
        <w:rPr>
          <w:rFonts w:cs="Times New Roman"/>
          <w:color w:val="000000"/>
          <w:lang w:val="en-US"/>
        </w:rPr>
        <w:t>znaniy</w:t>
      </w:r>
      <w:proofErr w:type="spellEnd"/>
      <w:r w:rsidRPr="00253D46">
        <w:rPr>
          <w:rFonts w:cs="Times New Roman"/>
          <w:color w:val="000000"/>
          <w:lang w:val="en-US"/>
        </w:rPr>
        <w:t>, 2020. 818 p. ISBN 978-5-00101-840-7.</w:t>
      </w:r>
    </w:p>
    <w:p w14:paraId="377973D3" w14:textId="77777777" w:rsidR="00DA2276" w:rsidRPr="00253D46" w:rsidRDefault="008E598B">
      <w:pPr>
        <w:spacing w:before="40"/>
        <w:jc w:val="both"/>
        <w:rPr>
          <w:lang w:val="en-US"/>
        </w:rPr>
      </w:pPr>
      <w:r w:rsidRPr="00253D46">
        <w:rPr>
          <w:rFonts w:cs="Times New Roman"/>
          <w:color w:val="000000"/>
          <w:lang w:val="en-US"/>
        </w:rPr>
        <w:t xml:space="preserve">11. </w:t>
      </w:r>
      <w:proofErr w:type="spellStart"/>
      <w:r w:rsidRPr="00253D46">
        <w:rPr>
          <w:rFonts w:cs="Times New Roman"/>
          <w:color w:val="000000"/>
          <w:lang w:val="en-US"/>
        </w:rPr>
        <w:t>Stolyarova</w:t>
      </w:r>
      <w:proofErr w:type="spellEnd"/>
      <w:r w:rsidRPr="00253D46">
        <w:rPr>
          <w:rFonts w:cs="Times New Roman"/>
          <w:color w:val="000000"/>
          <w:lang w:val="en-US"/>
        </w:rPr>
        <w:t xml:space="preserve"> A. N., </w:t>
      </w:r>
      <w:proofErr w:type="spellStart"/>
      <w:r w:rsidRPr="00253D46">
        <w:rPr>
          <w:rFonts w:cs="Times New Roman"/>
          <w:color w:val="000000"/>
          <w:lang w:val="en-US"/>
        </w:rPr>
        <w:t>Shamray-Kurbatova</w:t>
      </w:r>
      <w:proofErr w:type="spellEnd"/>
      <w:r w:rsidRPr="00253D46">
        <w:rPr>
          <w:rFonts w:cs="Times New Roman"/>
          <w:color w:val="000000"/>
          <w:lang w:val="en-US"/>
        </w:rPr>
        <w:t xml:space="preserve"> L. V. </w:t>
      </w:r>
      <w:proofErr w:type="spellStart"/>
      <w:r w:rsidRPr="00253D46">
        <w:rPr>
          <w:rFonts w:cs="Times New Roman"/>
          <w:color w:val="000000"/>
          <w:lang w:val="en-US"/>
        </w:rPr>
        <w:t>Ugrozy</w:t>
      </w:r>
      <w:proofErr w:type="spellEnd"/>
      <w:r w:rsidRPr="00253D46">
        <w:rPr>
          <w:rFonts w:cs="Times New Roman"/>
          <w:color w:val="000000"/>
          <w:lang w:val="en-US"/>
        </w:rPr>
        <w:t xml:space="preserve"> </w:t>
      </w:r>
      <w:proofErr w:type="spellStart"/>
      <w:r w:rsidRPr="00253D46">
        <w:rPr>
          <w:rFonts w:cs="Times New Roman"/>
          <w:color w:val="000000"/>
          <w:lang w:val="en-US"/>
        </w:rPr>
        <w:t>ekonomicheskoy</w:t>
      </w:r>
      <w:proofErr w:type="spellEnd"/>
      <w:r w:rsidRPr="00253D46">
        <w:rPr>
          <w:rFonts w:cs="Times New Roman"/>
          <w:color w:val="000000"/>
          <w:lang w:val="en-US"/>
        </w:rPr>
        <w:t xml:space="preserve"> </w:t>
      </w:r>
      <w:proofErr w:type="spellStart"/>
      <w:r w:rsidRPr="00253D46">
        <w:rPr>
          <w:rFonts w:cs="Times New Roman"/>
          <w:color w:val="000000"/>
          <w:lang w:val="en-US"/>
        </w:rPr>
        <w:t>bezopasnosti</w:t>
      </w:r>
      <w:proofErr w:type="spellEnd"/>
      <w:r w:rsidRPr="00253D46">
        <w:rPr>
          <w:rFonts w:cs="Times New Roman"/>
          <w:color w:val="000000"/>
          <w:lang w:val="en-US"/>
        </w:rPr>
        <w:t xml:space="preserve"> </w:t>
      </w:r>
      <w:proofErr w:type="spellStart"/>
      <w:r w:rsidRPr="00253D46">
        <w:rPr>
          <w:rFonts w:cs="Times New Roman"/>
          <w:color w:val="000000"/>
          <w:lang w:val="en-US"/>
        </w:rPr>
        <w:t>regiona</w:t>
      </w:r>
      <w:proofErr w:type="spellEnd"/>
      <w:r w:rsidRPr="00253D46">
        <w:rPr>
          <w:rFonts w:cs="Times New Roman"/>
          <w:color w:val="000000"/>
          <w:lang w:val="en-US"/>
        </w:rPr>
        <w:t xml:space="preserve"> [Threats to Regional Economic Security]. </w:t>
      </w:r>
      <w:proofErr w:type="spellStart"/>
      <w:r w:rsidRPr="00253D46">
        <w:rPr>
          <w:rFonts w:cs="Times New Roman"/>
          <w:color w:val="000000"/>
          <w:lang w:val="en-US"/>
        </w:rPr>
        <w:t>Ekonomika</w:t>
      </w:r>
      <w:proofErr w:type="spellEnd"/>
      <w:r w:rsidRPr="00253D46">
        <w:rPr>
          <w:rFonts w:cs="Times New Roman"/>
          <w:color w:val="000000"/>
          <w:lang w:val="en-US"/>
        </w:rPr>
        <w:t xml:space="preserve">, </w:t>
      </w:r>
      <w:proofErr w:type="spellStart"/>
      <w:r w:rsidRPr="00253D46">
        <w:rPr>
          <w:rFonts w:cs="Times New Roman"/>
          <w:color w:val="000000"/>
          <w:lang w:val="en-US"/>
        </w:rPr>
        <w:t>predprinimatel'stvo</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pravo</w:t>
      </w:r>
      <w:proofErr w:type="spellEnd"/>
      <w:r w:rsidRPr="00253D46">
        <w:rPr>
          <w:rFonts w:cs="Times New Roman"/>
          <w:color w:val="000000"/>
          <w:lang w:val="en-US"/>
        </w:rPr>
        <w:t xml:space="preserve"> [Economics, Entrepreneurship and Law], 2023, No. 10, pp. 3065-3080. Available at: https://1economic.ru/lib/119108 (accessed: 01.07.2026).</w:t>
      </w:r>
    </w:p>
    <w:p w14:paraId="495D3B25" w14:textId="77777777" w:rsidR="00DA2276" w:rsidRPr="00253D46" w:rsidRDefault="008E598B">
      <w:pPr>
        <w:spacing w:before="40"/>
        <w:jc w:val="both"/>
        <w:rPr>
          <w:lang w:val="en-US"/>
        </w:rPr>
      </w:pPr>
      <w:r w:rsidRPr="00253D46">
        <w:rPr>
          <w:rFonts w:cs="Times New Roman"/>
          <w:color w:val="000000"/>
          <w:lang w:val="en-US"/>
        </w:rPr>
        <w:t xml:space="preserve">12. </w:t>
      </w:r>
      <w:proofErr w:type="spellStart"/>
      <w:r w:rsidRPr="00253D46">
        <w:rPr>
          <w:rFonts w:cs="Times New Roman"/>
          <w:color w:val="000000"/>
          <w:lang w:val="en-US"/>
        </w:rPr>
        <w:t>Tatarkin</w:t>
      </w:r>
      <w:proofErr w:type="spellEnd"/>
      <w:r w:rsidRPr="00253D46">
        <w:rPr>
          <w:rFonts w:cs="Times New Roman"/>
          <w:color w:val="000000"/>
          <w:lang w:val="en-US"/>
        </w:rPr>
        <w:t xml:space="preserve"> A. I., Kuklin A. A. </w:t>
      </w:r>
      <w:proofErr w:type="spellStart"/>
      <w:r w:rsidRPr="00253D46">
        <w:rPr>
          <w:rFonts w:cs="Times New Roman"/>
          <w:color w:val="000000"/>
          <w:lang w:val="en-US"/>
        </w:rPr>
        <w:t>Izmenenie</w:t>
      </w:r>
      <w:proofErr w:type="spellEnd"/>
      <w:r w:rsidRPr="00253D46">
        <w:rPr>
          <w:rFonts w:cs="Times New Roman"/>
          <w:color w:val="000000"/>
          <w:lang w:val="en-US"/>
        </w:rPr>
        <w:t xml:space="preserve"> </w:t>
      </w:r>
      <w:proofErr w:type="spellStart"/>
      <w:r w:rsidRPr="00253D46">
        <w:rPr>
          <w:rFonts w:cs="Times New Roman"/>
          <w:color w:val="000000"/>
          <w:lang w:val="en-US"/>
        </w:rPr>
        <w:t>paradigmy</w:t>
      </w:r>
      <w:proofErr w:type="spellEnd"/>
      <w:r w:rsidRPr="00253D46">
        <w:rPr>
          <w:rFonts w:cs="Times New Roman"/>
          <w:color w:val="000000"/>
          <w:lang w:val="en-US"/>
        </w:rPr>
        <w:t xml:space="preserve"> </w:t>
      </w:r>
      <w:proofErr w:type="spellStart"/>
      <w:r w:rsidRPr="00253D46">
        <w:rPr>
          <w:rFonts w:cs="Times New Roman"/>
          <w:color w:val="000000"/>
          <w:lang w:val="en-US"/>
        </w:rPr>
        <w:t>issledovaniy</w:t>
      </w:r>
      <w:proofErr w:type="spellEnd"/>
      <w:r w:rsidRPr="00253D46">
        <w:rPr>
          <w:rFonts w:cs="Times New Roman"/>
          <w:color w:val="000000"/>
          <w:lang w:val="en-US"/>
        </w:rPr>
        <w:t xml:space="preserve"> </w:t>
      </w:r>
      <w:proofErr w:type="spellStart"/>
      <w:r w:rsidRPr="00253D46">
        <w:rPr>
          <w:rFonts w:cs="Times New Roman"/>
          <w:color w:val="000000"/>
          <w:lang w:val="en-US"/>
        </w:rPr>
        <w:t>ekonomicheskoy</w:t>
      </w:r>
      <w:proofErr w:type="spellEnd"/>
      <w:r w:rsidRPr="00253D46">
        <w:rPr>
          <w:rFonts w:cs="Times New Roman"/>
          <w:color w:val="000000"/>
          <w:lang w:val="en-US"/>
        </w:rPr>
        <w:t xml:space="preserve"> </w:t>
      </w:r>
      <w:proofErr w:type="spellStart"/>
      <w:r w:rsidRPr="00253D46">
        <w:rPr>
          <w:rFonts w:cs="Times New Roman"/>
          <w:color w:val="000000"/>
          <w:lang w:val="en-US"/>
        </w:rPr>
        <w:t>bezopasnosti</w:t>
      </w:r>
      <w:proofErr w:type="spellEnd"/>
      <w:r w:rsidRPr="00253D46">
        <w:rPr>
          <w:rFonts w:cs="Times New Roman"/>
          <w:color w:val="000000"/>
          <w:lang w:val="en-US"/>
        </w:rPr>
        <w:t xml:space="preserve"> </w:t>
      </w:r>
      <w:proofErr w:type="spellStart"/>
      <w:r w:rsidRPr="00253D46">
        <w:rPr>
          <w:rFonts w:cs="Times New Roman"/>
          <w:color w:val="000000"/>
          <w:lang w:val="en-US"/>
        </w:rPr>
        <w:t>regiona</w:t>
      </w:r>
      <w:proofErr w:type="spellEnd"/>
      <w:r w:rsidRPr="00253D46">
        <w:rPr>
          <w:rFonts w:cs="Times New Roman"/>
          <w:color w:val="000000"/>
          <w:lang w:val="en-US"/>
        </w:rPr>
        <w:t xml:space="preserve"> [Changing the Research Paradigm of Regional Economic Security]. </w:t>
      </w:r>
      <w:proofErr w:type="spellStart"/>
      <w:r w:rsidRPr="00253D46">
        <w:rPr>
          <w:rFonts w:cs="Times New Roman"/>
          <w:color w:val="000000"/>
          <w:lang w:val="en-US"/>
        </w:rPr>
        <w:t>Ekonomika</w:t>
      </w:r>
      <w:proofErr w:type="spellEnd"/>
      <w:r w:rsidRPr="00253D46">
        <w:rPr>
          <w:rFonts w:cs="Times New Roman"/>
          <w:color w:val="000000"/>
          <w:lang w:val="en-US"/>
        </w:rPr>
        <w:t xml:space="preserve"> </w:t>
      </w:r>
      <w:proofErr w:type="spellStart"/>
      <w:r w:rsidRPr="00253D46">
        <w:rPr>
          <w:rFonts w:cs="Times New Roman"/>
          <w:color w:val="000000"/>
          <w:lang w:val="en-US"/>
        </w:rPr>
        <w:t>regiona</w:t>
      </w:r>
      <w:proofErr w:type="spellEnd"/>
      <w:r w:rsidRPr="00253D46">
        <w:rPr>
          <w:rFonts w:cs="Times New Roman"/>
          <w:color w:val="000000"/>
          <w:lang w:val="en-US"/>
        </w:rPr>
        <w:t xml:space="preserve"> [Economy of the Region], 2012, No. 2, pp. 25-39.</w:t>
      </w:r>
    </w:p>
    <w:p w14:paraId="18B2E96A" w14:textId="77777777" w:rsidR="00DA2276" w:rsidRDefault="008E598B">
      <w:pPr>
        <w:spacing w:before="40"/>
        <w:jc w:val="both"/>
      </w:pPr>
      <w:r w:rsidRPr="00253D46">
        <w:rPr>
          <w:rFonts w:cs="Times New Roman"/>
          <w:color w:val="000000"/>
          <w:lang w:val="en-US"/>
        </w:rPr>
        <w:t xml:space="preserve">13. </w:t>
      </w:r>
      <w:proofErr w:type="spellStart"/>
      <w:r w:rsidRPr="00253D46">
        <w:rPr>
          <w:rFonts w:cs="Times New Roman"/>
          <w:color w:val="000000"/>
          <w:lang w:val="en-US"/>
        </w:rPr>
        <w:t>Tokhirov</w:t>
      </w:r>
      <w:proofErr w:type="spellEnd"/>
      <w:r w:rsidRPr="00253D46">
        <w:rPr>
          <w:rFonts w:cs="Times New Roman"/>
          <w:color w:val="000000"/>
          <w:lang w:val="en-US"/>
        </w:rPr>
        <w:t xml:space="preserve"> T. I. </w:t>
      </w:r>
      <w:proofErr w:type="spellStart"/>
      <w:r w:rsidRPr="00253D46">
        <w:rPr>
          <w:rFonts w:cs="Times New Roman"/>
          <w:color w:val="000000"/>
          <w:lang w:val="en-US"/>
        </w:rPr>
        <w:t>Upravlenie</w:t>
      </w:r>
      <w:proofErr w:type="spellEnd"/>
      <w:r w:rsidRPr="00253D46">
        <w:rPr>
          <w:rFonts w:cs="Times New Roman"/>
          <w:color w:val="000000"/>
          <w:lang w:val="en-US"/>
        </w:rPr>
        <w:t xml:space="preserve"> </w:t>
      </w:r>
      <w:proofErr w:type="spellStart"/>
      <w:r w:rsidRPr="00253D46">
        <w:rPr>
          <w:rFonts w:cs="Times New Roman"/>
          <w:color w:val="000000"/>
          <w:lang w:val="en-US"/>
        </w:rPr>
        <w:t>ekonomicheskoy</w:t>
      </w:r>
      <w:proofErr w:type="spellEnd"/>
      <w:r w:rsidRPr="00253D46">
        <w:rPr>
          <w:rFonts w:cs="Times New Roman"/>
          <w:color w:val="000000"/>
          <w:lang w:val="en-US"/>
        </w:rPr>
        <w:t xml:space="preserve"> </w:t>
      </w:r>
      <w:proofErr w:type="spellStart"/>
      <w:r w:rsidRPr="00253D46">
        <w:rPr>
          <w:rFonts w:cs="Times New Roman"/>
          <w:color w:val="000000"/>
          <w:lang w:val="en-US"/>
        </w:rPr>
        <w:t>bezopasnost'yu</w:t>
      </w:r>
      <w:proofErr w:type="spellEnd"/>
      <w:r w:rsidRPr="00253D46">
        <w:rPr>
          <w:rFonts w:cs="Times New Roman"/>
          <w:color w:val="000000"/>
          <w:lang w:val="en-US"/>
        </w:rPr>
        <w:t xml:space="preserve"> </w:t>
      </w:r>
      <w:proofErr w:type="spellStart"/>
      <w:r w:rsidRPr="00253D46">
        <w:rPr>
          <w:rFonts w:cs="Times New Roman"/>
          <w:color w:val="000000"/>
          <w:lang w:val="en-US"/>
        </w:rPr>
        <w:t>regiona</w:t>
      </w:r>
      <w:proofErr w:type="spellEnd"/>
      <w:r w:rsidRPr="00253D46">
        <w:rPr>
          <w:rFonts w:cs="Times New Roman"/>
          <w:color w:val="000000"/>
          <w:lang w:val="en-US"/>
        </w:rPr>
        <w:t xml:space="preserve"> [Managing Regional Economic Security]. </w:t>
      </w:r>
      <w:proofErr w:type="spellStart"/>
      <w:r w:rsidRPr="00253D46">
        <w:rPr>
          <w:rFonts w:cs="Times New Roman"/>
          <w:color w:val="000000"/>
          <w:lang w:val="en-US"/>
        </w:rPr>
        <w:t>Ekonomika</w:t>
      </w:r>
      <w:proofErr w:type="spellEnd"/>
      <w:r w:rsidRPr="00253D46">
        <w:rPr>
          <w:rFonts w:cs="Times New Roman"/>
          <w:color w:val="000000"/>
          <w:lang w:val="en-US"/>
        </w:rPr>
        <w:t xml:space="preserve">, </w:t>
      </w:r>
      <w:proofErr w:type="spellStart"/>
      <w:r w:rsidRPr="00253D46">
        <w:rPr>
          <w:rFonts w:cs="Times New Roman"/>
          <w:color w:val="000000"/>
          <w:lang w:val="en-US"/>
        </w:rPr>
        <w:t>predprinimatel'stvo</w:t>
      </w:r>
      <w:proofErr w:type="spellEnd"/>
      <w:r w:rsidRPr="00253D46">
        <w:rPr>
          <w:rFonts w:cs="Times New Roman"/>
          <w:color w:val="000000"/>
          <w:lang w:val="en-US"/>
        </w:rPr>
        <w:t xml:space="preserve"> </w:t>
      </w:r>
      <w:proofErr w:type="spellStart"/>
      <w:r w:rsidRPr="00253D46">
        <w:rPr>
          <w:rFonts w:cs="Times New Roman"/>
          <w:color w:val="000000"/>
          <w:lang w:val="en-US"/>
        </w:rPr>
        <w:t>i</w:t>
      </w:r>
      <w:proofErr w:type="spellEnd"/>
      <w:r w:rsidRPr="00253D46">
        <w:rPr>
          <w:rFonts w:cs="Times New Roman"/>
          <w:color w:val="000000"/>
          <w:lang w:val="en-US"/>
        </w:rPr>
        <w:t xml:space="preserve"> </w:t>
      </w:r>
      <w:proofErr w:type="spellStart"/>
      <w:r w:rsidRPr="00253D46">
        <w:rPr>
          <w:rFonts w:cs="Times New Roman"/>
          <w:color w:val="000000"/>
          <w:lang w:val="en-US"/>
        </w:rPr>
        <w:t>pravo</w:t>
      </w:r>
      <w:proofErr w:type="spellEnd"/>
      <w:r w:rsidRPr="00253D46">
        <w:rPr>
          <w:rFonts w:cs="Times New Roman"/>
          <w:color w:val="000000"/>
          <w:lang w:val="en-US"/>
        </w:rPr>
        <w:t xml:space="preserve"> [Economics, Entrepreneurship and Law], 2013, No. 2, pp. 19-26. </w:t>
      </w:r>
      <w:proofErr w:type="spellStart"/>
      <w:r>
        <w:rPr>
          <w:rFonts w:cs="Times New Roman"/>
          <w:color w:val="000000"/>
        </w:rPr>
        <w:t>Available</w:t>
      </w:r>
      <w:proofErr w:type="spellEnd"/>
      <w:r>
        <w:rPr>
          <w:rFonts w:cs="Times New Roman"/>
          <w:color w:val="000000"/>
        </w:rPr>
        <w:t xml:space="preserve"> </w:t>
      </w:r>
      <w:proofErr w:type="spellStart"/>
      <w:r>
        <w:rPr>
          <w:rFonts w:cs="Times New Roman"/>
          <w:color w:val="000000"/>
        </w:rPr>
        <w:t>at</w:t>
      </w:r>
      <w:proofErr w:type="spellEnd"/>
      <w:r>
        <w:rPr>
          <w:rFonts w:cs="Times New Roman"/>
          <w:color w:val="000000"/>
        </w:rPr>
        <w:t>: https://1economic.ru/lib/8910 (</w:t>
      </w:r>
      <w:proofErr w:type="spellStart"/>
      <w:r>
        <w:rPr>
          <w:rFonts w:cs="Times New Roman"/>
          <w:color w:val="000000"/>
        </w:rPr>
        <w:t>accessed</w:t>
      </w:r>
      <w:proofErr w:type="spellEnd"/>
      <w:r>
        <w:rPr>
          <w:rFonts w:cs="Times New Roman"/>
          <w:color w:val="000000"/>
        </w:rPr>
        <w:t>: 01.07.2026).</w:t>
      </w:r>
    </w:p>
    <w:sectPr w:rsidR="00DA2276">
      <w:footerReference w:type="even" r:id="rId10"/>
      <w:footerReference w:type="default" r:id="rId11"/>
      <w:footerReference w:type="first" r:id="rId12"/>
      <w:pgSz w:w="12240" w:h="15840"/>
      <w:pgMar w:top="1134" w:right="1134" w:bottom="1134" w:left="1134"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2DE6C" w14:textId="77777777" w:rsidR="005A64DE" w:rsidRDefault="005A64DE">
      <w:pPr>
        <w:spacing w:line="240" w:lineRule="auto"/>
      </w:pPr>
      <w:r>
        <w:separator/>
      </w:r>
    </w:p>
  </w:endnote>
  <w:endnote w:type="continuationSeparator" w:id="0">
    <w:p w14:paraId="571B4F1B" w14:textId="77777777" w:rsidR="005A64DE" w:rsidRDefault="005A6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1"/>
    <w:family w:val="roman"/>
    <w:pitch w:val="variable"/>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28D3" w14:textId="77777777" w:rsidR="00DA2276" w:rsidRDefault="00DA227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7A5F" w14:textId="25955D10" w:rsidR="00DA2276" w:rsidRDefault="008E598B">
    <w:pPr>
      <w:pStyle w:val="a8"/>
      <w:jc w:val="center"/>
    </w:pPr>
    <w:r>
      <w:rPr>
        <w:sz w:val="24"/>
      </w:rPr>
      <w:fldChar w:fldCharType="begin"/>
    </w:r>
    <w:r>
      <w:rPr>
        <w:sz w:val="24"/>
      </w:rPr>
      <w:instrText xml:space="preserve"> PAGE </w:instrText>
    </w:r>
    <w:r>
      <w:rPr>
        <w:sz w:val="24"/>
      </w:rPr>
      <w:fldChar w:fldCharType="separate"/>
    </w:r>
    <w:r w:rsidR="006A548E">
      <w:rPr>
        <w:noProof/>
        <w:sz w:val="24"/>
      </w:rPr>
      <w:t>1</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6108" w14:textId="77777777" w:rsidR="00DA2276" w:rsidRDefault="008E598B">
    <w:pPr>
      <w:pStyle w:val="a8"/>
      <w:jc w:val="center"/>
    </w:pPr>
    <w:r>
      <w:rPr>
        <w:sz w:val="24"/>
      </w:rPr>
      <w:fldChar w:fldCharType="begin"/>
    </w:r>
    <w:r>
      <w:rPr>
        <w:sz w:val="24"/>
      </w:rPr>
      <w:instrText xml:space="preserve"> PAGE </w:instrText>
    </w:r>
    <w:r>
      <w:rPr>
        <w:sz w:val="24"/>
      </w:rPr>
      <w:fldChar w:fldCharType="separate"/>
    </w:r>
    <w:r>
      <w:rPr>
        <w:sz w:val="24"/>
      </w:rPr>
      <w:t>22</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9C302" w14:textId="77777777" w:rsidR="005A64DE" w:rsidRDefault="005A64DE">
      <w:pPr>
        <w:spacing w:line="240" w:lineRule="auto"/>
      </w:pPr>
      <w:r>
        <w:separator/>
      </w:r>
    </w:p>
  </w:footnote>
  <w:footnote w:type="continuationSeparator" w:id="0">
    <w:p w14:paraId="2AEF9DDE" w14:textId="77777777" w:rsidR="005A64DE" w:rsidRDefault="005A64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4306"/>
    <w:multiLevelType w:val="multilevel"/>
    <w:tmpl w:val="E39EB398"/>
    <w:lvl w:ilvl="0">
      <w:start w:val="1"/>
      <w:numFmt w:val="decimal"/>
      <w:pStyle w:val="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2F44072"/>
    <w:multiLevelType w:val="multilevel"/>
    <w:tmpl w:val="53BE2212"/>
    <w:lvl w:ilvl="0">
      <w:start w:val="1"/>
      <w:numFmt w:val="decimal"/>
      <w:pStyle w:val="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C0B1168"/>
    <w:multiLevelType w:val="multilevel"/>
    <w:tmpl w:val="000E8358"/>
    <w:lvl w:ilvl="0">
      <w:start w:val="1"/>
      <w:numFmt w:val="decimal"/>
      <w:pStyle w:val="a"/>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4EB0788"/>
    <w:multiLevelType w:val="multilevel"/>
    <w:tmpl w:val="30DA6FC0"/>
    <w:lvl w:ilvl="0">
      <w:start w:val="1"/>
      <w:numFmt w:val="bullet"/>
      <w:pStyle w:val="a0"/>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62C27126"/>
    <w:multiLevelType w:val="multilevel"/>
    <w:tmpl w:val="26DE5F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6895594"/>
    <w:multiLevelType w:val="multilevel"/>
    <w:tmpl w:val="91529528"/>
    <w:lvl w:ilvl="0">
      <w:start w:val="1"/>
      <w:numFmt w:val="bullet"/>
      <w:pStyle w:val="20"/>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672F48ED"/>
    <w:multiLevelType w:val="multilevel"/>
    <w:tmpl w:val="EC2043E4"/>
    <w:lvl w:ilvl="0">
      <w:start w:val="1"/>
      <w:numFmt w:val="bullet"/>
      <w:pStyle w:val="30"/>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139610207">
    <w:abstractNumId w:val="3"/>
  </w:num>
  <w:num w:numId="2" w16cid:durableId="14773401">
    <w:abstractNumId w:val="5"/>
  </w:num>
  <w:num w:numId="3" w16cid:durableId="1810391655">
    <w:abstractNumId w:val="6"/>
  </w:num>
  <w:num w:numId="4" w16cid:durableId="517742004">
    <w:abstractNumId w:val="2"/>
  </w:num>
  <w:num w:numId="5" w16cid:durableId="1723753067">
    <w:abstractNumId w:val="1"/>
  </w:num>
  <w:num w:numId="6" w16cid:durableId="1205092664">
    <w:abstractNumId w:val="0"/>
  </w:num>
  <w:num w:numId="7" w16cid:durableId="15177663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276"/>
    <w:rsid w:val="00070A13"/>
    <w:rsid w:val="00100F47"/>
    <w:rsid w:val="00253D46"/>
    <w:rsid w:val="003F5F9E"/>
    <w:rsid w:val="00593402"/>
    <w:rsid w:val="005A64DE"/>
    <w:rsid w:val="006A548E"/>
    <w:rsid w:val="006E39CF"/>
    <w:rsid w:val="007A4BD6"/>
    <w:rsid w:val="008E598B"/>
    <w:rsid w:val="00924A9A"/>
    <w:rsid w:val="0099430D"/>
    <w:rsid w:val="00B55EAE"/>
    <w:rsid w:val="00DA2276"/>
    <w:rsid w:val="00F76482"/>
  </w:rsids>
  <m:mathPr>
    <m:mathFont m:val="Cambria Math"/>
    <m:brkBin m:val="before"/>
    <m:brkBinSub m:val="--"/>
    <m:smallFrac m:val="0"/>
    <m:dispDef/>
    <m:lMargin m:val="0"/>
    <m:rMargin m:val="0"/>
    <m:defJc m:val="centerGroup"/>
    <m:wrapIndent m:val="1440"/>
    <m:intLim m:val="subSup"/>
    <m:naryLim m:val="undOvr"/>
  </m:mathPr>
  <w:themeFontLang w:val="ru-RU"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4030"/>
  <w15:docId w15:val="{48EA6F2C-43A4-4D6C-B011-F8306937B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pPr>
      <w:spacing w:line="360" w:lineRule="auto"/>
    </w:pPr>
    <w:rPr>
      <w:rFonts w:ascii="Times New Roman" w:hAnsi="Times New Roman"/>
      <w:sz w:val="28"/>
    </w:rPr>
  </w:style>
  <w:style w:type="paragraph" w:styleId="1">
    <w:name w:val="heading 1"/>
    <w:basedOn w:val="a1"/>
    <w:next w:val="a1"/>
    <w:link w:val="10"/>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1">
    <w:name w:val="heading 2"/>
    <w:basedOn w:val="a1"/>
    <w:next w:val="a1"/>
    <w:link w:val="22"/>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link w:val="a6"/>
    <w:uiPriority w:val="99"/>
    <w:qFormat/>
    <w:rsid w:val="00E618BF"/>
  </w:style>
  <w:style w:type="character" w:customStyle="1" w:styleId="a7">
    <w:name w:val="Нижний колонтитул Знак"/>
    <w:basedOn w:val="a2"/>
    <w:link w:val="a8"/>
    <w:uiPriority w:val="99"/>
    <w:qFormat/>
    <w:rsid w:val="00E618BF"/>
  </w:style>
  <w:style w:type="character" w:customStyle="1" w:styleId="10">
    <w:name w:val="Заголовок 1 Знак"/>
    <w:basedOn w:val="a2"/>
    <w:link w:val="1"/>
    <w:uiPriority w:val="9"/>
    <w:qFormat/>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qFormat/>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qFormat/>
    <w:rsid w:val="00FC693F"/>
    <w:rPr>
      <w:rFonts w:asciiTheme="majorHAnsi" w:eastAsiaTheme="majorEastAsia" w:hAnsiTheme="majorHAnsi" w:cstheme="majorBidi"/>
      <w:b/>
      <w:bCs/>
      <w:color w:val="4F81BD" w:themeColor="accent1"/>
    </w:rPr>
  </w:style>
  <w:style w:type="character" w:customStyle="1" w:styleId="a9">
    <w:name w:val="Заголовок Знак"/>
    <w:basedOn w:val="a2"/>
    <w:link w:val="aa"/>
    <w:uiPriority w:val="10"/>
    <w:qFormat/>
    <w:rsid w:val="00FC693F"/>
    <w:rPr>
      <w:rFonts w:asciiTheme="majorHAnsi" w:eastAsiaTheme="majorEastAsia" w:hAnsiTheme="majorHAnsi" w:cstheme="majorBidi"/>
      <w:color w:val="17365D" w:themeColor="text2" w:themeShade="BF"/>
      <w:spacing w:val="5"/>
      <w:kern w:val="2"/>
      <w:sz w:val="52"/>
      <w:szCs w:val="52"/>
    </w:rPr>
  </w:style>
  <w:style w:type="character" w:customStyle="1" w:styleId="ab">
    <w:name w:val="Подзаголовок Знак"/>
    <w:basedOn w:val="a2"/>
    <w:link w:val="ac"/>
    <w:uiPriority w:val="11"/>
    <w:qFormat/>
    <w:rsid w:val="00FC693F"/>
    <w:rPr>
      <w:rFonts w:asciiTheme="majorHAnsi" w:eastAsiaTheme="majorEastAsia" w:hAnsiTheme="majorHAnsi" w:cstheme="majorBidi"/>
      <w:i/>
      <w:iCs/>
      <w:color w:val="4F81BD" w:themeColor="accent1"/>
      <w:spacing w:val="15"/>
      <w:sz w:val="24"/>
      <w:szCs w:val="24"/>
    </w:rPr>
  </w:style>
  <w:style w:type="character" w:customStyle="1" w:styleId="ad">
    <w:name w:val="Основной текст Знак"/>
    <w:basedOn w:val="a2"/>
    <w:link w:val="ae"/>
    <w:uiPriority w:val="99"/>
    <w:qFormat/>
    <w:rsid w:val="00AA1D8D"/>
  </w:style>
  <w:style w:type="character" w:customStyle="1" w:styleId="23">
    <w:name w:val="Основной текст 2 Знак"/>
    <w:basedOn w:val="a2"/>
    <w:link w:val="24"/>
    <w:uiPriority w:val="99"/>
    <w:qFormat/>
    <w:rsid w:val="00AA1D8D"/>
  </w:style>
  <w:style w:type="character" w:customStyle="1" w:styleId="33">
    <w:name w:val="Основной текст 3 Знак"/>
    <w:basedOn w:val="a2"/>
    <w:link w:val="34"/>
    <w:uiPriority w:val="99"/>
    <w:qFormat/>
    <w:rsid w:val="00AA1D8D"/>
    <w:rPr>
      <w:sz w:val="16"/>
      <w:szCs w:val="16"/>
    </w:rPr>
  </w:style>
  <w:style w:type="character" w:customStyle="1" w:styleId="af">
    <w:name w:val="Текст макроса Знак"/>
    <w:basedOn w:val="a2"/>
    <w:link w:val="af0"/>
    <w:uiPriority w:val="99"/>
    <w:qFormat/>
    <w:rsid w:val="0029639D"/>
    <w:rPr>
      <w:rFonts w:ascii="Courier" w:hAnsi="Courier"/>
      <w:sz w:val="20"/>
      <w:szCs w:val="20"/>
    </w:rPr>
  </w:style>
  <w:style w:type="character" w:customStyle="1" w:styleId="25">
    <w:name w:val="Цитата 2 Знак"/>
    <w:basedOn w:val="a2"/>
    <w:link w:val="26"/>
    <w:uiPriority w:val="29"/>
    <w:qFormat/>
    <w:rsid w:val="00FC693F"/>
    <w:rPr>
      <w:i/>
      <w:iCs/>
      <w:color w:val="000000" w:themeColor="text1"/>
    </w:rPr>
  </w:style>
  <w:style w:type="character" w:customStyle="1" w:styleId="40">
    <w:name w:val="Заголовок 4 Знак"/>
    <w:basedOn w:val="a2"/>
    <w:link w:val="4"/>
    <w:uiPriority w:val="9"/>
    <w:semiHidden/>
    <w:qFormat/>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qFormat/>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qFormat/>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qFormat/>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qFormat/>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qFormat/>
    <w:rsid w:val="00FC693F"/>
    <w:rPr>
      <w:rFonts w:asciiTheme="majorHAnsi" w:eastAsiaTheme="majorEastAsia" w:hAnsiTheme="majorHAnsi" w:cstheme="majorBidi"/>
      <w:i/>
      <w:iCs/>
      <w:color w:val="404040" w:themeColor="text1" w:themeTint="BF"/>
      <w:sz w:val="20"/>
      <w:szCs w:val="20"/>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character" w:customStyle="1" w:styleId="af3">
    <w:name w:val="Выделенная цитата Знак"/>
    <w:basedOn w:val="a2"/>
    <w:link w:val="af4"/>
    <w:uiPriority w:val="30"/>
    <w:qFormat/>
    <w:rsid w:val="00FC693F"/>
    <w:rPr>
      <w:b/>
      <w:bCs/>
      <w:i/>
      <w:iCs/>
      <w:color w:val="4F81BD" w:themeColor="accent1"/>
    </w:rPr>
  </w:style>
  <w:style w:type="character" w:styleId="af5">
    <w:name w:val="Subtle Emphasis"/>
    <w:basedOn w:val="a2"/>
    <w:uiPriority w:val="19"/>
    <w:qFormat/>
    <w:rsid w:val="00FC693F"/>
    <w:rPr>
      <w:i/>
      <w:iCs/>
      <w:color w:val="808080" w:themeColor="text1" w:themeTint="7F"/>
    </w:rPr>
  </w:style>
  <w:style w:type="character" w:styleId="af6">
    <w:name w:val="Intense Emphasis"/>
    <w:basedOn w:val="a2"/>
    <w:uiPriority w:val="21"/>
    <w:qFormat/>
    <w:rsid w:val="00FC693F"/>
    <w:rPr>
      <w:b/>
      <w:bCs/>
      <w:i/>
      <w:iCs/>
      <w:color w:val="4F81BD" w:themeColor="accent1"/>
    </w:rPr>
  </w:style>
  <w:style w:type="character" w:styleId="af7">
    <w:name w:val="Subtle Reference"/>
    <w:basedOn w:val="a2"/>
    <w:uiPriority w:val="31"/>
    <w:qFormat/>
    <w:rsid w:val="00FC693F"/>
    <w:rPr>
      <w:smallCaps/>
      <w:color w:val="C0504D" w:themeColor="accent2"/>
      <w:u w:val="single"/>
    </w:rPr>
  </w:style>
  <w:style w:type="character" w:styleId="af8">
    <w:name w:val="Intense Reference"/>
    <w:basedOn w:val="a2"/>
    <w:uiPriority w:val="32"/>
    <w:qFormat/>
    <w:rsid w:val="00FC693F"/>
    <w:rPr>
      <w:b/>
      <w:bCs/>
      <w:smallCaps/>
      <w:color w:val="C0504D" w:themeColor="accent2"/>
      <w:spacing w:val="5"/>
      <w:u w:val="single"/>
    </w:rPr>
  </w:style>
  <w:style w:type="character" w:styleId="af9">
    <w:name w:val="Book Title"/>
    <w:basedOn w:val="a2"/>
    <w:uiPriority w:val="33"/>
    <w:qFormat/>
    <w:rsid w:val="00FC693F"/>
    <w:rPr>
      <w:b/>
      <w:bCs/>
      <w:smallCaps/>
      <w:spacing w:val="5"/>
    </w:rPr>
  </w:style>
  <w:style w:type="paragraph" w:customStyle="1" w:styleId="Heading">
    <w:name w:val="Heading"/>
    <w:basedOn w:val="a1"/>
    <w:next w:val="ae"/>
    <w:qFormat/>
    <w:pPr>
      <w:keepNext/>
      <w:spacing w:before="240" w:after="120"/>
    </w:pPr>
    <w:rPr>
      <w:rFonts w:ascii="Liberation Sans" w:eastAsia="Arial Unicode MS" w:hAnsi="Liberation Sans" w:cs="Arial Unicode MS"/>
      <w:szCs w:val="28"/>
    </w:rPr>
  </w:style>
  <w:style w:type="paragraph" w:styleId="ae">
    <w:name w:val="Body Text"/>
    <w:basedOn w:val="a1"/>
    <w:link w:val="ad"/>
    <w:uiPriority w:val="99"/>
    <w:unhideWhenUsed/>
    <w:rsid w:val="00AA1D8D"/>
    <w:pPr>
      <w:spacing w:after="120"/>
    </w:pPr>
  </w:style>
  <w:style w:type="paragraph" w:styleId="afa">
    <w:name w:val="List"/>
    <w:basedOn w:val="a1"/>
    <w:uiPriority w:val="99"/>
    <w:unhideWhenUsed/>
    <w:rsid w:val="00AA1D8D"/>
    <w:pPr>
      <w:ind w:left="360" w:hanging="360"/>
      <w:contextualSpacing/>
    </w:pPr>
  </w:style>
  <w:style w:type="paragraph" w:styleId="afb">
    <w:name w:val="caption"/>
    <w:basedOn w:val="a1"/>
    <w:next w:val="a1"/>
    <w:uiPriority w:val="35"/>
    <w:semiHidden/>
    <w:unhideWhenUsed/>
    <w:qFormat/>
    <w:rsid w:val="00FC693F"/>
    <w:pPr>
      <w:spacing w:line="240" w:lineRule="auto"/>
    </w:pPr>
    <w:rPr>
      <w:b/>
      <w:bCs/>
      <w:color w:val="4F81BD" w:themeColor="accent1"/>
      <w:sz w:val="18"/>
      <w:szCs w:val="18"/>
    </w:rPr>
  </w:style>
  <w:style w:type="paragraph" w:customStyle="1" w:styleId="Index">
    <w:name w:val="Index"/>
    <w:basedOn w:val="a1"/>
    <w:qFormat/>
    <w:pPr>
      <w:suppressLineNumbers/>
    </w:pPr>
    <w:rPr>
      <w:rFonts w:cs="Arial Unicode MS"/>
    </w:rPr>
  </w:style>
  <w:style w:type="paragraph" w:customStyle="1" w:styleId="HeaderandFooter">
    <w:name w:val="Header and Footer"/>
    <w:basedOn w:val="a1"/>
    <w:qFormat/>
  </w:style>
  <w:style w:type="paragraph" w:styleId="a6">
    <w:name w:val="header"/>
    <w:basedOn w:val="a1"/>
    <w:link w:val="a5"/>
    <w:uiPriority w:val="99"/>
    <w:unhideWhenUsed/>
    <w:rsid w:val="00E618BF"/>
    <w:pPr>
      <w:tabs>
        <w:tab w:val="center" w:pos="4680"/>
        <w:tab w:val="right" w:pos="9360"/>
      </w:tabs>
      <w:spacing w:line="240" w:lineRule="auto"/>
    </w:pPr>
  </w:style>
  <w:style w:type="paragraph" w:styleId="a8">
    <w:name w:val="footer"/>
    <w:basedOn w:val="a1"/>
    <w:link w:val="a7"/>
    <w:uiPriority w:val="99"/>
    <w:unhideWhenUsed/>
    <w:rsid w:val="00E618BF"/>
    <w:pPr>
      <w:tabs>
        <w:tab w:val="center" w:pos="4680"/>
        <w:tab w:val="right" w:pos="9360"/>
      </w:tabs>
      <w:spacing w:line="240" w:lineRule="auto"/>
    </w:pPr>
  </w:style>
  <w:style w:type="paragraph" w:styleId="afc">
    <w:name w:val="No Spacing"/>
    <w:uiPriority w:val="1"/>
    <w:qFormat/>
    <w:rsid w:val="00FC693F"/>
  </w:style>
  <w:style w:type="paragraph" w:styleId="aa">
    <w:name w:val="Title"/>
    <w:basedOn w:val="a1"/>
    <w:next w:val="a1"/>
    <w:link w:val="a9"/>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ac">
    <w:name w:val="Subtitle"/>
    <w:basedOn w:val="a1"/>
    <w:next w:val="a1"/>
    <w:link w:val="ab"/>
    <w:uiPriority w:val="11"/>
    <w:qFormat/>
    <w:rsid w:val="00FC693F"/>
    <w:rPr>
      <w:rFonts w:asciiTheme="majorHAnsi" w:eastAsiaTheme="majorEastAsia" w:hAnsiTheme="majorHAnsi" w:cstheme="majorBidi"/>
      <w:i/>
      <w:iCs/>
      <w:color w:val="4F81BD" w:themeColor="accent1"/>
      <w:spacing w:val="15"/>
      <w:sz w:val="24"/>
      <w:szCs w:val="24"/>
    </w:rPr>
  </w:style>
  <w:style w:type="paragraph" w:styleId="afd">
    <w:name w:val="List Paragraph"/>
    <w:basedOn w:val="a1"/>
    <w:uiPriority w:val="34"/>
    <w:qFormat/>
    <w:rsid w:val="00FC693F"/>
    <w:pPr>
      <w:ind w:left="720"/>
      <w:contextualSpacing/>
    </w:pPr>
  </w:style>
  <w:style w:type="paragraph" w:styleId="24">
    <w:name w:val="Body Text 2"/>
    <w:basedOn w:val="a1"/>
    <w:link w:val="23"/>
    <w:uiPriority w:val="99"/>
    <w:unhideWhenUsed/>
    <w:qFormat/>
    <w:rsid w:val="00AA1D8D"/>
    <w:pPr>
      <w:spacing w:after="120" w:line="480" w:lineRule="auto"/>
    </w:pPr>
  </w:style>
  <w:style w:type="paragraph" w:styleId="34">
    <w:name w:val="Body Text 3"/>
    <w:basedOn w:val="a1"/>
    <w:link w:val="33"/>
    <w:uiPriority w:val="99"/>
    <w:unhideWhenUsed/>
    <w:qFormat/>
    <w:rsid w:val="00AA1D8D"/>
    <w:pPr>
      <w:spacing w:after="120"/>
    </w:pPr>
    <w:rPr>
      <w:sz w:val="16"/>
      <w:szCs w:val="16"/>
    </w:rPr>
  </w:style>
  <w:style w:type="paragraph" w:styleId="27">
    <w:name w:val="List 2"/>
    <w:basedOn w:val="a1"/>
    <w:uiPriority w:val="99"/>
    <w:unhideWhenUsed/>
    <w:qFormat/>
    <w:rsid w:val="00326F90"/>
    <w:pPr>
      <w:ind w:left="720" w:hanging="360"/>
      <w:contextualSpacing/>
    </w:pPr>
  </w:style>
  <w:style w:type="paragraph" w:styleId="35">
    <w:name w:val="List 3"/>
    <w:basedOn w:val="a1"/>
    <w:uiPriority w:val="99"/>
    <w:unhideWhenUsed/>
    <w:qFormat/>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4"/>
      </w:numPr>
      <w:contextualSpacing/>
    </w:pPr>
  </w:style>
  <w:style w:type="paragraph" w:styleId="2">
    <w:name w:val="List Number 2"/>
    <w:basedOn w:val="a1"/>
    <w:uiPriority w:val="99"/>
    <w:unhideWhenUsed/>
    <w:rsid w:val="0029639D"/>
    <w:pPr>
      <w:numPr>
        <w:numId w:val="5"/>
      </w:numPr>
      <w:contextualSpacing/>
    </w:pPr>
  </w:style>
  <w:style w:type="paragraph" w:styleId="3">
    <w:name w:val="List Number 3"/>
    <w:basedOn w:val="a1"/>
    <w:uiPriority w:val="99"/>
    <w:unhideWhenUsed/>
    <w:rsid w:val="0029639D"/>
    <w:pPr>
      <w:numPr>
        <w:numId w:val="6"/>
      </w:numPr>
      <w:contextualSpacing/>
    </w:pPr>
  </w:style>
  <w:style w:type="paragraph" w:styleId="afe">
    <w:name w:val="List Continue"/>
    <w:basedOn w:val="a1"/>
    <w:uiPriority w:val="99"/>
    <w:unhideWhenUsed/>
    <w:rsid w:val="0029639D"/>
    <w:pPr>
      <w:spacing w:after="120"/>
      <w:ind w:left="360"/>
      <w:contextualSpacing/>
    </w:pPr>
  </w:style>
  <w:style w:type="paragraph" w:styleId="28">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0">
    <w:name w:val="macro"/>
    <w:link w:val="af"/>
    <w:uiPriority w:val="99"/>
    <w:unhideWhenUsed/>
    <w:qFormat/>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paragraph" w:styleId="26">
    <w:name w:val="Quote"/>
    <w:basedOn w:val="a1"/>
    <w:next w:val="a1"/>
    <w:link w:val="25"/>
    <w:uiPriority w:val="29"/>
    <w:qFormat/>
    <w:rsid w:val="00FC693F"/>
    <w:rPr>
      <w:i/>
      <w:iCs/>
      <w:color w:val="000000" w:themeColor="text1"/>
    </w:rPr>
  </w:style>
  <w:style w:type="paragraph" w:styleId="af4">
    <w:name w:val="Intense Quote"/>
    <w:basedOn w:val="a1"/>
    <w:next w:val="a1"/>
    <w:link w:val="af3"/>
    <w:uiPriority w:val="30"/>
    <w:qFormat/>
    <w:rsid w:val="00FC693F"/>
    <w:pPr>
      <w:pBdr>
        <w:bottom w:val="single" w:sz="4" w:space="4" w:color="4F81BD" w:themeColor="accent1"/>
      </w:pBdr>
      <w:spacing w:before="200" w:after="280"/>
      <w:ind w:left="936" w:right="936"/>
    </w:pPr>
    <w:rPr>
      <w:b/>
      <w:bCs/>
      <w:i/>
      <w:iCs/>
      <w:color w:val="4F81BD" w:themeColor="accent1"/>
    </w:rPr>
  </w:style>
  <w:style w:type="paragraph" w:styleId="aff">
    <w:name w:val="index heading"/>
    <w:basedOn w:val="Heading"/>
  </w:style>
  <w:style w:type="paragraph" w:styleId="aff0">
    <w:name w:val="TOC Heading"/>
    <w:basedOn w:val="1"/>
    <w:next w:val="a1"/>
    <w:uiPriority w:val="39"/>
    <w:semiHidden/>
    <w:unhideWhenUsed/>
    <w:qFormat/>
    <w:rsid w:val="00FC693F"/>
    <w:pPr>
      <w:outlineLvl w:val="9"/>
    </w:pPr>
  </w:style>
  <w:style w:type="table" w:styleId="aff1">
    <w:name w:val="Table Grid"/>
    <w:basedOn w:val="a3"/>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34F2B-A48A-459C-ACFB-CAD8F6A01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5194</Words>
  <Characters>29609</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Пользователь</cp:lastModifiedBy>
  <cp:revision>3</cp:revision>
  <dcterms:created xsi:type="dcterms:W3CDTF">2026-07-11T20:45:00Z</dcterms:created>
  <dcterms:modified xsi:type="dcterms:W3CDTF">2026-07-13T15:14:00Z</dcterms:modified>
  <dc:language>ru-RU</dc:language>
</cp:coreProperties>
</file>